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C31EA3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PDC2025</w:t>
      </w:r>
    </w:p>
    <w:p w14:paraId="00000002" w14:textId="77777777" w:rsidR="00C31EA3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Stellenbosch, Cape Town, South Africa</w:t>
      </w:r>
    </w:p>
    <w:p w14:paraId="00000003" w14:textId="77777777" w:rsidR="00C31EA3" w:rsidRDefault="00C31EA3">
      <w:pPr>
        <w:jc w:val="center"/>
        <w:rPr>
          <w:rFonts w:ascii="Arial" w:eastAsia="Arial" w:hAnsi="Arial" w:cs="Arial"/>
          <w:b/>
        </w:rPr>
      </w:pPr>
    </w:p>
    <w:p w14:paraId="00000004" w14:textId="77777777" w:rsidR="00C31EA3" w:rsidRDefault="00C31EA3">
      <w:pPr>
        <w:jc w:val="center"/>
        <w:rPr>
          <w:rFonts w:ascii="Arial" w:eastAsia="Arial" w:hAnsi="Arial" w:cs="Arial"/>
          <w:b/>
        </w:rPr>
      </w:pPr>
    </w:p>
    <w:p w14:paraId="00000005" w14:textId="77777777" w:rsidR="00C31EA3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Please submit your abstract at </w:t>
      </w:r>
      <w:hyperlink r:id="rId7">
        <w:r w:rsidR="00C31EA3">
          <w:rPr>
            <w:rFonts w:ascii="Arial" w:eastAsia="Arial" w:hAnsi="Arial" w:cs="Arial"/>
            <w:i/>
            <w:color w:val="0000FF"/>
            <w:u w:val="single"/>
          </w:rPr>
          <w:t>https://iaaspace.org/pdc</w:t>
        </w:r>
      </w:hyperlink>
      <w:r>
        <w:rPr>
          <w:rFonts w:ascii="Arial" w:eastAsia="Arial" w:hAnsi="Arial" w:cs="Arial"/>
          <w:i/>
        </w:rPr>
        <w:t>.</w:t>
      </w:r>
    </w:p>
    <w:p w14:paraId="00000006" w14:textId="77777777" w:rsidR="00C31EA3" w:rsidRDefault="00C31EA3">
      <w:pPr>
        <w:jc w:val="center"/>
        <w:rPr>
          <w:rFonts w:ascii="Arial" w:eastAsia="Arial" w:hAnsi="Arial" w:cs="Arial"/>
          <w:b/>
        </w:rPr>
      </w:pPr>
    </w:p>
    <w:p w14:paraId="00000007" w14:textId="77777777" w:rsidR="00C31EA3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select the topic that best fits your abstract from the list below)</w:t>
      </w:r>
    </w:p>
    <w:p w14:paraId="00000008" w14:textId="77777777" w:rsidR="00C31EA3" w:rsidRDefault="00000000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(you may also add a general comment - see end of this document)</w:t>
      </w:r>
    </w:p>
    <w:p w14:paraId="00000009" w14:textId="77777777" w:rsidR="00C31EA3" w:rsidRDefault="00C31EA3">
      <w:pPr>
        <w:jc w:val="center"/>
        <w:rPr>
          <w:rFonts w:ascii="Arial" w:eastAsia="Arial" w:hAnsi="Arial" w:cs="Arial"/>
          <w:i/>
        </w:rPr>
      </w:pPr>
    </w:p>
    <w:p w14:paraId="0000000A" w14:textId="77777777" w:rsidR="00C31EA3" w:rsidRDefault="00000000">
      <w:pPr>
        <w:rPr>
          <w:rFonts w:ascii="Arial" w:eastAsia="Arial" w:hAnsi="Arial" w:cs="Arial"/>
          <w:b/>
        </w:rPr>
      </w:pPr>
      <w:bookmarkStart w:id="0" w:name="gjdgxs" w:colFirst="0" w:colLast="0"/>
      <w:bookmarkEnd w:id="0"/>
      <w:r>
        <w:rPr>
          <w:rFonts w:ascii="Arial" w:eastAsia="Arial" w:hAnsi="Arial" w:cs="Arial"/>
          <w:b/>
        </w:rPr>
        <w:t>☐ Ongoing and Upcoming Mission Highlights</w:t>
      </w:r>
    </w:p>
    <w:p w14:paraId="0000000B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Apophis: T-4 Years</w:t>
      </w:r>
    </w:p>
    <w:p w14:paraId="0000000C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Hypothetical Asteroid Threat Exercise</w:t>
      </w:r>
    </w:p>
    <w:p w14:paraId="0000000D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Key International and Policy Developments</w:t>
      </w:r>
    </w:p>
    <w:p w14:paraId="0000000E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Near-Earth Object (NEO) Discovery</w:t>
      </w:r>
    </w:p>
    <w:p w14:paraId="0000000F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NEO Characterization</w:t>
      </w:r>
    </w:p>
    <w:p w14:paraId="00000010" w14:textId="7B23B723" w:rsidR="00C31EA3" w:rsidRDefault="002A7478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X Deflection / Disruption Modeling &amp; Testing</w:t>
      </w:r>
    </w:p>
    <w:p w14:paraId="00000011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Space Mission &amp; Campaign Design</w:t>
      </w:r>
    </w:p>
    <w:p w14:paraId="00000012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Earth Impact Effects &amp; Consequences</w:t>
      </w:r>
    </w:p>
    <w:p w14:paraId="00000013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Disaster Management &amp; Impact Response</w:t>
      </w:r>
    </w:p>
    <w:p w14:paraId="00000014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Public Education and Communication</w:t>
      </w:r>
    </w:p>
    <w:p w14:paraId="00000015" w14:textId="77777777" w:rsidR="00C31EA3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☐ The Decision to Act: Political, Legal, Social, and Economic Aspects</w:t>
      </w:r>
    </w:p>
    <w:p w14:paraId="00000016" w14:textId="77777777" w:rsidR="00C31EA3" w:rsidRDefault="00C31EA3">
      <w:pPr>
        <w:jc w:val="center"/>
        <w:rPr>
          <w:rFonts w:ascii="Arial" w:eastAsia="Arial" w:hAnsi="Arial" w:cs="Arial"/>
          <w:b/>
        </w:rPr>
      </w:pPr>
    </w:p>
    <w:p w14:paraId="00000017" w14:textId="77777777" w:rsidR="00C31EA3" w:rsidRDefault="00C31EA3">
      <w:pPr>
        <w:jc w:val="center"/>
        <w:rPr>
          <w:rFonts w:ascii="Arial" w:eastAsia="Arial" w:hAnsi="Arial" w:cs="Arial"/>
          <w:b/>
        </w:rPr>
      </w:pPr>
    </w:p>
    <w:p w14:paraId="00000018" w14:textId="5F57BB51" w:rsidR="00C31EA3" w:rsidRDefault="006740DC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Experimental Calibration of X-Ray Energy Deposition Models for Planetary Defense with the OMEGA Laser</w:t>
      </w:r>
    </w:p>
    <w:p w14:paraId="00000019" w14:textId="77777777" w:rsidR="00C31EA3" w:rsidRDefault="00C31EA3">
      <w:pPr>
        <w:rPr>
          <w:rFonts w:ascii="Arial" w:eastAsia="Arial" w:hAnsi="Arial" w:cs="Arial"/>
          <w:b/>
        </w:rPr>
      </w:pPr>
    </w:p>
    <w:p w14:paraId="0000001A" w14:textId="05D15A87" w:rsidR="00C31EA3" w:rsidRPr="006740DC" w:rsidRDefault="006740DC">
      <w:pPr>
        <w:jc w:val="center"/>
        <w:rPr>
          <w:rFonts w:ascii="Arial" w:eastAsia="Arial" w:hAnsi="Arial" w:cs="Arial"/>
          <w:vertAlign w:val="superscript"/>
        </w:rPr>
      </w:pPr>
      <w:r>
        <w:rPr>
          <w:rFonts w:ascii="Arial" w:eastAsia="Arial" w:hAnsi="Arial" w:cs="Arial"/>
          <w:b/>
        </w:rPr>
        <w:t>Patrick K. King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 Amanda K. Davis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</w:rPr>
        <w:t>, Dawn M. Graninger</w:t>
      </w:r>
      <w:r>
        <w:rPr>
          <w:rFonts w:ascii="Arial" w:eastAsia="Arial" w:hAnsi="Arial" w:cs="Arial"/>
          <w:bCs/>
          <w:vertAlign w:val="superscript"/>
        </w:rPr>
        <w:t>(1)</w:t>
      </w:r>
      <w:r>
        <w:rPr>
          <w:rFonts w:ascii="Arial" w:eastAsia="Arial" w:hAnsi="Arial" w:cs="Arial"/>
          <w:b/>
        </w:rPr>
        <w:t>, Mary T. Burkey</w:t>
      </w:r>
      <w:r>
        <w:rPr>
          <w:rFonts w:ascii="Arial" w:eastAsia="Arial" w:hAnsi="Arial" w:cs="Arial"/>
          <w:bCs/>
          <w:vertAlign w:val="superscript"/>
        </w:rPr>
        <w:t>(2)</w:t>
      </w:r>
      <w:r>
        <w:rPr>
          <w:rFonts w:ascii="Arial" w:eastAsia="Arial" w:hAnsi="Arial" w:cs="Arial"/>
          <w:b/>
        </w:rPr>
        <w:t>, Mingsheng Wei</w:t>
      </w:r>
      <w:r>
        <w:rPr>
          <w:rFonts w:ascii="Arial" w:eastAsia="Arial" w:hAnsi="Arial" w:cs="Arial"/>
          <w:vertAlign w:val="superscript"/>
        </w:rPr>
        <w:t>(3)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b/>
          <w:bCs/>
        </w:rPr>
        <w:t>David A. Burns</w:t>
      </w:r>
      <w:r>
        <w:rPr>
          <w:rFonts w:ascii="Arial" w:eastAsia="Arial" w:hAnsi="Arial" w:cs="Arial"/>
          <w:vertAlign w:val="superscript"/>
        </w:rPr>
        <w:t>(1)</w:t>
      </w:r>
      <w:r>
        <w:rPr>
          <w:rFonts w:ascii="Arial" w:eastAsia="Arial" w:hAnsi="Arial" w:cs="Arial"/>
          <w:b/>
          <w:bCs/>
        </w:rPr>
        <w:t>, and Michinari Sakai</w:t>
      </w:r>
      <w:r>
        <w:rPr>
          <w:rFonts w:ascii="Arial" w:eastAsia="Arial" w:hAnsi="Arial" w:cs="Arial"/>
          <w:vertAlign w:val="superscript"/>
        </w:rPr>
        <w:t>(1)</w:t>
      </w:r>
    </w:p>
    <w:p w14:paraId="0000001B" w14:textId="7FC2DD71" w:rsidR="00C31EA3" w:rsidRPr="006740DC" w:rsidRDefault="00000000">
      <w:pPr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vertAlign w:val="superscript"/>
        </w:rPr>
        <w:t>(1)</w:t>
      </w:r>
      <w:r w:rsidR="006740DC">
        <w:rPr>
          <w:rFonts w:ascii="Arial" w:eastAsia="Arial" w:hAnsi="Arial" w:cs="Arial"/>
          <w:vertAlign w:val="superscript"/>
        </w:rPr>
        <w:t xml:space="preserve"> </w:t>
      </w:r>
      <w:r w:rsidR="006740DC">
        <w:rPr>
          <w:rFonts w:ascii="Arial" w:eastAsia="Arial" w:hAnsi="Arial" w:cs="Arial"/>
          <w:i/>
          <w:iCs/>
        </w:rPr>
        <w:t xml:space="preserve">The Johns Hopkins University Applied Physics Laboratory, 11100 Johns Hopkins Road, Laurel, MD 20723, USA </w:t>
      </w:r>
    </w:p>
    <w:p w14:paraId="5B94FC3C" w14:textId="71B6401E" w:rsidR="006740DC" w:rsidRDefault="006740DC" w:rsidP="006740DC">
      <w:pPr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vertAlign w:val="superscript"/>
        </w:rPr>
        <w:t xml:space="preserve">(2) </w:t>
      </w:r>
      <w:r>
        <w:rPr>
          <w:rFonts w:ascii="Arial" w:eastAsia="Arial" w:hAnsi="Arial" w:cs="Arial"/>
          <w:i/>
        </w:rPr>
        <w:t>Lawrence Livermore National Laboratory, 7000 East Avenue, Livermore, CA 94550, USA</w:t>
      </w:r>
    </w:p>
    <w:p w14:paraId="0000001C" w14:textId="1DCF2382" w:rsidR="00C31EA3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vertAlign w:val="superscript"/>
        </w:rPr>
        <w:t>(</w:t>
      </w:r>
      <w:r w:rsidR="006740DC">
        <w:rPr>
          <w:rFonts w:ascii="Arial" w:eastAsia="Arial" w:hAnsi="Arial" w:cs="Arial"/>
          <w:vertAlign w:val="superscript"/>
        </w:rPr>
        <w:t>3</w:t>
      </w:r>
      <w:r>
        <w:rPr>
          <w:rFonts w:ascii="Arial" w:eastAsia="Arial" w:hAnsi="Arial" w:cs="Arial"/>
          <w:vertAlign w:val="superscript"/>
        </w:rPr>
        <w:t>)</w:t>
      </w:r>
      <w:r>
        <w:rPr>
          <w:rFonts w:ascii="Arial" w:eastAsia="Arial" w:hAnsi="Arial" w:cs="Arial"/>
          <w:i/>
        </w:rPr>
        <w:t xml:space="preserve"> </w:t>
      </w:r>
      <w:r w:rsidR="006740DC">
        <w:rPr>
          <w:rFonts w:ascii="Arial" w:eastAsia="Arial" w:hAnsi="Arial" w:cs="Arial"/>
          <w:i/>
        </w:rPr>
        <w:t>University of Rochester Laboratory for Laser Energetics, 250 East River Road, Rochester, NY 14623, USA</w:t>
      </w:r>
    </w:p>
    <w:p w14:paraId="0000001D" w14:textId="77777777" w:rsidR="00C31EA3" w:rsidRDefault="00C31EA3">
      <w:pPr>
        <w:jc w:val="center"/>
        <w:rPr>
          <w:rFonts w:ascii="Arial" w:eastAsia="Arial" w:hAnsi="Arial" w:cs="Arial"/>
        </w:rPr>
      </w:pPr>
    </w:p>
    <w:p w14:paraId="0000001E" w14:textId="1B08E66D" w:rsidR="00C31EA3" w:rsidRDefault="00000000">
      <w:pPr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b/>
          <w:i/>
        </w:rPr>
        <w:t>Keywords:</w:t>
      </w:r>
      <w:r>
        <w:rPr>
          <w:rFonts w:ascii="Arial" w:eastAsia="Arial" w:hAnsi="Arial" w:cs="Arial"/>
          <w:i/>
        </w:rPr>
        <w:t xml:space="preserve"> </w:t>
      </w:r>
      <w:r w:rsidR="00934564">
        <w:rPr>
          <w:rFonts w:ascii="Arial" w:eastAsia="Arial" w:hAnsi="Arial" w:cs="Arial"/>
          <w:i/>
        </w:rPr>
        <w:t>NED Mitigation, Experiments, X-Ray Ablation, High-Energy-Density Physics</w:t>
      </w:r>
    </w:p>
    <w:p w14:paraId="4D9AA74A" w14:textId="77777777" w:rsidR="00934564" w:rsidRDefault="00934564">
      <w:pPr>
        <w:jc w:val="both"/>
        <w:rPr>
          <w:rFonts w:ascii="Arial" w:eastAsia="Arial" w:hAnsi="Arial" w:cs="Arial"/>
          <w:i/>
        </w:rPr>
      </w:pPr>
    </w:p>
    <w:p w14:paraId="3718A406" w14:textId="2F15949B" w:rsidR="00934564" w:rsidRDefault="00934564">
      <w:pPr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 xml:space="preserve">Certain planetary defense scenarios may require the use of nuclear explosive devices (NEDs) for successful mitigation [1]. Planning for these scenarios use engineering models derived from hydrocode simulations, themselves built upon models of x-ray energy deposition in asteroid material [2]. Recent work [3] has advanced the state-of-the-art in energy deposition modeling using radiation-hydrodynamics simulations. Though radiation-hydrodynamics processes begin to dominate at typical scenario x-ray fluences, the experimentally accessible x-ray fluences available at facilities such as OMEGA [4] are low enough that re-radiation of deposited energy is minimal, and cold opacities are sufficient to describe the x-ray energy deposition [5]. These levels are still sufficient to generate the material ablation and blowoff processes that serve </w:t>
      </w:r>
      <w:r>
        <w:rPr>
          <w:rFonts w:ascii="Arial" w:eastAsia="Arial" w:hAnsi="Arial" w:cs="Arial"/>
          <w:iCs/>
        </w:rPr>
        <w:lastRenderedPageBreak/>
        <w:t xml:space="preserve">as the momentum transfer mechanism in NED planetary defense scenarios, and are constrained by material-dependent properties. </w:t>
      </w:r>
    </w:p>
    <w:p w14:paraId="2291F00B" w14:textId="77777777" w:rsidR="00934564" w:rsidRDefault="00934564">
      <w:pPr>
        <w:jc w:val="both"/>
        <w:rPr>
          <w:rFonts w:ascii="Arial" w:eastAsia="Arial" w:hAnsi="Arial" w:cs="Arial"/>
          <w:iCs/>
        </w:rPr>
      </w:pPr>
    </w:p>
    <w:p w14:paraId="03B5541B" w14:textId="7A94E2A8" w:rsidR="00934564" w:rsidRDefault="00934564">
      <w:pPr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 xml:space="preserve">In this work, we present a calibration of x-ray energy deposition models derived from </w:t>
      </w:r>
      <w:r w:rsidR="002A7478">
        <w:rPr>
          <w:rFonts w:ascii="Arial" w:eastAsia="Arial" w:hAnsi="Arial" w:cs="Arial"/>
          <w:iCs/>
        </w:rPr>
        <w:t xml:space="preserve">broadband x-ray exposure experiments conducted at the OMEGA laser. Several geologic and meteoritic samples were exposed to various x-ray fluence levels over a multi-shot experimental campaign. On each shot, a specialized target [6,7] is illuminated by the OMEGA-60 laser system, generating a broadband flash of x-rays which irradiate the surfaces of the samples. Energy deposited by these x-rays initiate low-fluence ablation and blowoff processes. Following exposure, post-shot profilometry techniques are applied to determine the quantity of material removed in the experiment. The provides a key measurement of material removal depth, a quantity needed to calibrate ablation and impulse models. This low-fluence calibration in turn anchors radiation-hydrodynamics models and ties them to empirically accessible regimes. </w:t>
      </w:r>
    </w:p>
    <w:p w14:paraId="316EACEA" w14:textId="77777777" w:rsidR="000A5181" w:rsidRDefault="000A5181">
      <w:pPr>
        <w:jc w:val="both"/>
        <w:rPr>
          <w:rFonts w:ascii="Arial" w:eastAsia="Arial" w:hAnsi="Arial" w:cs="Arial"/>
          <w:iCs/>
        </w:rPr>
      </w:pPr>
    </w:p>
    <w:p w14:paraId="7191403C" w14:textId="64BCD553" w:rsidR="000A5181" w:rsidRDefault="000A5181">
      <w:pPr>
        <w:jc w:val="both"/>
        <w:rPr>
          <w:rFonts w:ascii="Arial" w:eastAsia="Arial" w:hAnsi="Arial" w:cs="Arial"/>
          <w:iCs/>
        </w:rPr>
      </w:pPr>
      <w:r w:rsidRPr="000A5181">
        <w:rPr>
          <w:rFonts w:ascii="Arial" w:eastAsia="Arial" w:hAnsi="Arial" w:cs="Arial"/>
          <w:iCs/>
        </w:rPr>
        <w:t>This work was funded by a NASA Research Opportunities in Earth and Space Sciences (ROSES) 2022 Yearly Opportunities for Research in Planetary Defense (YORPD) grant (NASA Grant Number: 22-YORPD</w:t>
      </w:r>
      <w:r>
        <w:rPr>
          <w:rFonts w:ascii="Arial" w:eastAsia="Arial" w:hAnsi="Arial" w:cs="Arial"/>
          <w:iCs/>
        </w:rPr>
        <w:t>_</w:t>
      </w:r>
      <w:r w:rsidRPr="000A5181">
        <w:rPr>
          <w:rFonts w:ascii="Arial" w:eastAsia="Arial" w:hAnsi="Arial" w:cs="Arial"/>
          <w:iCs/>
        </w:rPr>
        <w:t>22</w:t>
      </w:r>
      <w:r>
        <w:rPr>
          <w:rFonts w:ascii="Arial" w:eastAsia="Arial" w:hAnsi="Arial" w:cs="Arial"/>
          <w:iCs/>
        </w:rPr>
        <w:t>_</w:t>
      </w:r>
      <w:r w:rsidRPr="000A5181">
        <w:rPr>
          <w:rFonts w:ascii="Arial" w:eastAsia="Arial" w:hAnsi="Arial" w:cs="Arial"/>
          <w:iCs/>
        </w:rPr>
        <w:t>2-0005) under the Near-Earth Object Observations Program.</w:t>
      </w:r>
      <w:r>
        <w:rPr>
          <w:rFonts w:ascii="Arial" w:eastAsia="Arial" w:hAnsi="Arial" w:cs="Arial"/>
          <w:iCs/>
        </w:rPr>
        <w:t xml:space="preserve"> </w:t>
      </w:r>
      <w:r w:rsidR="00FD1AE2">
        <w:rPr>
          <w:rFonts w:ascii="Arial" w:eastAsia="Arial" w:hAnsi="Arial" w:cs="Arial"/>
          <w:iCs/>
        </w:rPr>
        <w:t>Part of this work was performed under the auspices of the Department of Energy by Lawrence Livermore National Laboratory under Contract DE-AC52-07NA27344. LLNL-ABS-</w:t>
      </w:r>
      <w:r w:rsidR="001D25CD">
        <w:rPr>
          <w:rFonts w:ascii="Arial" w:eastAsia="Arial" w:hAnsi="Arial" w:cs="Arial"/>
          <w:iCs/>
        </w:rPr>
        <w:t>871535</w:t>
      </w:r>
      <w:r w:rsidR="00FD1AE2">
        <w:rPr>
          <w:rFonts w:ascii="Arial" w:eastAsia="Arial" w:hAnsi="Arial" w:cs="Arial"/>
          <w:iCs/>
        </w:rPr>
        <w:t xml:space="preserve">. </w:t>
      </w:r>
    </w:p>
    <w:p w14:paraId="08AB3A68" w14:textId="77777777" w:rsidR="00934564" w:rsidRDefault="00934564">
      <w:pPr>
        <w:jc w:val="both"/>
        <w:rPr>
          <w:rFonts w:ascii="Arial" w:eastAsia="Arial" w:hAnsi="Arial" w:cs="Arial"/>
          <w:iCs/>
        </w:rPr>
      </w:pPr>
    </w:p>
    <w:p w14:paraId="2708328B" w14:textId="2176F936" w:rsidR="00934564" w:rsidRDefault="00934564">
      <w:pPr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 xml:space="preserve">[1] </w:t>
      </w:r>
      <w:r w:rsidRPr="00934564">
        <w:rPr>
          <w:rFonts w:ascii="Arial" w:eastAsia="Arial" w:hAnsi="Arial" w:cs="Arial"/>
          <w:iCs/>
        </w:rPr>
        <w:t>Dearborn, D.S.P. and P.L. Miller, “Defending Against Asteroids and Comets”, in Handbook of Cosmic Hazards and Planetary Defense (J.N. Pelton and F. Allahdadi, eds.), Ch. 34, pp. 733-754, Springer International Publishing Switzerland, 2015.</w:t>
      </w:r>
    </w:p>
    <w:p w14:paraId="590C19D1" w14:textId="77777777" w:rsidR="00934564" w:rsidRDefault="00934564">
      <w:pPr>
        <w:jc w:val="both"/>
        <w:rPr>
          <w:rFonts w:ascii="Arial" w:eastAsia="Arial" w:hAnsi="Arial" w:cs="Arial"/>
          <w:iCs/>
        </w:rPr>
      </w:pPr>
    </w:p>
    <w:p w14:paraId="0C946273" w14:textId="6DA40D13" w:rsidR="00934564" w:rsidRDefault="00934564">
      <w:pPr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 xml:space="preserve">[2] </w:t>
      </w:r>
      <w:r w:rsidRPr="00934564">
        <w:rPr>
          <w:rFonts w:ascii="Arial" w:eastAsia="Arial" w:hAnsi="Arial" w:cs="Arial"/>
          <w:iCs/>
        </w:rPr>
        <w:t xml:space="preserve">Dearborn, D.S.P., M.B. Syal, </w:t>
      </w:r>
      <w:r w:rsidR="005619A9">
        <w:rPr>
          <w:rFonts w:ascii="Arial" w:eastAsia="Arial" w:hAnsi="Arial" w:cs="Arial"/>
          <w:iCs/>
        </w:rPr>
        <w:t>et al.</w:t>
      </w:r>
      <w:r w:rsidRPr="00934564">
        <w:rPr>
          <w:rFonts w:ascii="Arial" w:eastAsia="Arial" w:hAnsi="Arial" w:cs="Arial"/>
          <w:iCs/>
        </w:rPr>
        <w:t>, Options and Uncertainties in Planetary Defense: Impulse-Dependent Response and the Physical Properties of Asteroids, Acta Astronautica Vol. 183, pp. 29-42 (2021).</w:t>
      </w:r>
    </w:p>
    <w:p w14:paraId="38211D78" w14:textId="77777777" w:rsidR="00934564" w:rsidRDefault="00934564">
      <w:pPr>
        <w:jc w:val="both"/>
        <w:rPr>
          <w:rFonts w:ascii="Arial" w:eastAsia="Arial" w:hAnsi="Arial" w:cs="Arial"/>
          <w:iCs/>
        </w:rPr>
      </w:pPr>
    </w:p>
    <w:p w14:paraId="2DCDF73A" w14:textId="746680F9" w:rsidR="00934564" w:rsidRDefault="00934564">
      <w:pPr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 xml:space="preserve">[3] </w:t>
      </w:r>
      <w:r w:rsidRPr="00934564">
        <w:rPr>
          <w:rFonts w:ascii="Arial" w:eastAsia="Arial" w:hAnsi="Arial" w:cs="Arial"/>
          <w:iCs/>
        </w:rPr>
        <w:t>Burkey, M.T., R.A. Managan,</w:t>
      </w:r>
      <w:r w:rsidR="005619A9">
        <w:rPr>
          <w:rFonts w:ascii="Arial" w:eastAsia="Arial" w:hAnsi="Arial" w:cs="Arial"/>
          <w:iCs/>
        </w:rPr>
        <w:t xml:space="preserve"> et al.</w:t>
      </w:r>
      <w:r w:rsidRPr="00934564">
        <w:rPr>
          <w:rFonts w:ascii="Arial" w:eastAsia="Arial" w:hAnsi="Arial" w:cs="Arial"/>
          <w:iCs/>
        </w:rPr>
        <w:t>, X-Ray Energy Deposition Model for Simulating Asteroid Response to a Nuclear Planetary Defense Mitigation Mission, PSJ Vol. 4, p. 243 (2023).</w:t>
      </w:r>
    </w:p>
    <w:p w14:paraId="550CF35B" w14:textId="77777777" w:rsidR="00934564" w:rsidRDefault="00934564">
      <w:pPr>
        <w:jc w:val="both"/>
        <w:rPr>
          <w:rFonts w:ascii="Arial" w:eastAsia="Arial" w:hAnsi="Arial" w:cs="Arial"/>
          <w:iCs/>
        </w:rPr>
      </w:pPr>
    </w:p>
    <w:p w14:paraId="067A5836" w14:textId="3A4946DA" w:rsidR="00934564" w:rsidRDefault="00934564">
      <w:pPr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 xml:space="preserve">[4] </w:t>
      </w:r>
      <w:r w:rsidRPr="00934564">
        <w:rPr>
          <w:rFonts w:ascii="Arial" w:eastAsia="Arial" w:hAnsi="Arial" w:cs="Arial"/>
          <w:iCs/>
        </w:rPr>
        <w:t xml:space="preserve">Davis, A.K., M.B. Airola, </w:t>
      </w:r>
      <w:r w:rsidR="005619A9">
        <w:rPr>
          <w:rFonts w:ascii="Arial" w:eastAsia="Arial" w:hAnsi="Arial" w:cs="Arial"/>
          <w:iCs/>
        </w:rPr>
        <w:t>et al.</w:t>
      </w:r>
      <w:r w:rsidRPr="00934564">
        <w:rPr>
          <w:rFonts w:ascii="Arial" w:eastAsia="Arial" w:hAnsi="Arial" w:cs="Arial"/>
          <w:iCs/>
        </w:rPr>
        <w:t>, Thermal Response Measurements for OMEGA-Laser-Generated Environments, JRERE Vol. 42 No. 1 pp. 35-40 (2024). (CUI Document.)</w:t>
      </w:r>
    </w:p>
    <w:p w14:paraId="1EDBA9F3" w14:textId="77777777" w:rsidR="00934564" w:rsidRDefault="00934564">
      <w:pPr>
        <w:jc w:val="both"/>
        <w:rPr>
          <w:rFonts w:ascii="Arial" w:eastAsia="Arial" w:hAnsi="Arial" w:cs="Arial"/>
          <w:iCs/>
        </w:rPr>
      </w:pPr>
    </w:p>
    <w:p w14:paraId="4488EC68" w14:textId="358E8C34" w:rsidR="00934564" w:rsidRDefault="00934564">
      <w:pPr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 xml:space="preserve">[5] </w:t>
      </w:r>
      <w:r w:rsidRPr="00934564">
        <w:rPr>
          <w:rFonts w:ascii="Arial" w:eastAsia="Arial" w:hAnsi="Arial" w:cs="Arial"/>
          <w:iCs/>
        </w:rPr>
        <w:t xml:space="preserve">King, P.K., D.M. Graninger, </w:t>
      </w:r>
      <w:r w:rsidR="005619A9">
        <w:rPr>
          <w:rFonts w:ascii="Arial" w:eastAsia="Arial" w:hAnsi="Arial" w:cs="Arial"/>
          <w:iCs/>
        </w:rPr>
        <w:t>et al.</w:t>
      </w:r>
      <w:r w:rsidRPr="00934564">
        <w:rPr>
          <w:rFonts w:ascii="Arial" w:eastAsia="Arial" w:hAnsi="Arial" w:cs="Arial"/>
          <w:iCs/>
        </w:rPr>
        <w:t>, Modeling the Dynamic Thermomechanical Response of Materials to X-Ray Irradiation, JRERE Vol. 42 No. 1 pp 41-49 (2024). (CUI Document.)</w:t>
      </w:r>
    </w:p>
    <w:p w14:paraId="46A86358" w14:textId="77777777" w:rsidR="00934564" w:rsidRDefault="00934564">
      <w:pPr>
        <w:jc w:val="both"/>
        <w:rPr>
          <w:rFonts w:ascii="Arial" w:eastAsia="Arial" w:hAnsi="Arial" w:cs="Arial"/>
          <w:iCs/>
        </w:rPr>
      </w:pPr>
    </w:p>
    <w:p w14:paraId="7924384A" w14:textId="19FE5EFD" w:rsidR="00934564" w:rsidRDefault="00934564">
      <w:pPr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 xml:space="preserve">[6] </w:t>
      </w:r>
      <w:r w:rsidRPr="00934564">
        <w:rPr>
          <w:rFonts w:ascii="Arial" w:eastAsia="Arial" w:hAnsi="Arial" w:cs="Arial"/>
          <w:iCs/>
        </w:rPr>
        <w:t xml:space="preserve">Perez, F., J.J. Kay, </w:t>
      </w:r>
      <w:r w:rsidR="005619A9">
        <w:rPr>
          <w:rFonts w:ascii="Arial" w:eastAsia="Arial" w:hAnsi="Arial" w:cs="Arial"/>
          <w:iCs/>
        </w:rPr>
        <w:t>et al.</w:t>
      </w:r>
      <w:r w:rsidRPr="00934564">
        <w:rPr>
          <w:rFonts w:ascii="Arial" w:eastAsia="Arial" w:hAnsi="Arial" w:cs="Arial"/>
          <w:iCs/>
        </w:rPr>
        <w:t>, Efficient Laser-Induced 6-8 keV X-Ray Production from Iron Oxide Aerogel and Foil-Lined Cavity Targets, PoP 19, 083101 (2012).</w:t>
      </w:r>
    </w:p>
    <w:p w14:paraId="040057F9" w14:textId="77777777" w:rsidR="00934564" w:rsidRDefault="00934564">
      <w:pPr>
        <w:jc w:val="both"/>
        <w:rPr>
          <w:rFonts w:ascii="Arial" w:eastAsia="Arial" w:hAnsi="Arial" w:cs="Arial"/>
          <w:iCs/>
        </w:rPr>
      </w:pPr>
    </w:p>
    <w:p w14:paraId="37E25643" w14:textId="31704805" w:rsidR="00934564" w:rsidRPr="00934564" w:rsidRDefault="00934564">
      <w:pPr>
        <w:jc w:val="both"/>
        <w:rPr>
          <w:rFonts w:ascii="Arial" w:eastAsia="Arial" w:hAnsi="Arial" w:cs="Arial"/>
          <w:iCs/>
        </w:rPr>
      </w:pPr>
      <w:r>
        <w:rPr>
          <w:rFonts w:ascii="Arial" w:eastAsia="Arial" w:hAnsi="Arial" w:cs="Arial"/>
          <w:iCs/>
        </w:rPr>
        <w:t xml:space="preserve">[7] </w:t>
      </w:r>
      <w:r w:rsidRPr="00934564">
        <w:rPr>
          <w:rFonts w:ascii="Arial" w:eastAsia="Arial" w:hAnsi="Arial" w:cs="Arial"/>
          <w:iCs/>
        </w:rPr>
        <w:t>Girard, F., Review of Laser Produced Multi-keV X-Ray Sources from Metallic Foils, Cylinders with Liner, and Low Density Aerogels, PoP 23, 040501 (2016).</w:t>
      </w:r>
    </w:p>
    <w:p w14:paraId="00000031" w14:textId="77777777" w:rsidR="00C31EA3" w:rsidRDefault="00C31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2" w14:textId="77777777" w:rsidR="00C31EA3" w:rsidRDefault="00C31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3" w14:textId="77777777" w:rsidR="00C31EA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**************************************</w:t>
      </w:r>
    </w:p>
    <w:p w14:paraId="00000034" w14:textId="77777777" w:rsidR="00C31EA3" w:rsidRDefault="00C31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0000035" w14:textId="77777777" w:rsidR="00C31EA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Comments:</w:t>
      </w:r>
    </w:p>
    <w:p w14:paraId="00000036" w14:textId="77777777" w:rsidR="00C31EA3" w:rsidRDefault="00C31EA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</w:p>
    <w:p w14:paraId="00000037" w14:textId="77777777" w:rsidR="00C31EA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(Alternative session, Time slot, Oral or Poster, </w:t>
      </w:r>
      <w:proofErr w:type="spellStart"/>
      <w:r>
        <w:rPr>
          <w:rFonts w:ascii="Arial" w:eastAsia="Arial" w:hAnsi="Arial" w:cs="Arial"/>
          <w:i/>
          <w:color w:val="000000"/>
          <w:sz w:val="22"/>
          <w:szCs w:val="22"/>
        </w:rPr>
        <w:t>Etc</w:t>
      </w:r>
      <w:proofErr w:type="spellEnd"/>
      <w:r>
        <w:rPr>
          <w:rFonts w:ascii="Arial" w:eastAsia="Arial" w:hAnsi="Arial" w:cs="Arial"/>
          <w:i/>
          <w:color w:val="000000"/>
          <w:sz w:val="22"/>
          <w:szCs w:val="22"/>
        </w:rPr>
        <w:t>…)</w:t>
      </w:r>
    </w:p>
    <w:p w14:paraId="3493FAC0" w14:textId="77777777" w:rsidR="00B628CC" w:rsidRDefault="00B628C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2"/>
          <w:szCs w:val="22"/>
        </w:rPr>
      </w:pPr>
    </w:p>
    <w:p w14:paraId="329816CF" w14:textId="56443064" w:rsidR="00B628CC" w:rsidRPr="00B628CC" w:rsidRDefault="00B628C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Cs/>
          <w:color w:val="000000"/>
          <w:sz w:val="22"/>
          <w:szCs w:val="22"/>
        </w:rPr>
      </w:pPr>
      <w:r>
        <w:rPr>
          <w:rFonts w:ascii="Arial" w:eastAsia="Arial" w:hAnsi="Arial" w:cs="Arial"/>
          <w:iCs/>
          <w:color w:val="000000"/>
          <w:sz w:val="22"/>
          <w:szCs w:val="22"/>
        </w:rPr>
        <w:t>Oral Presentation</w:t>
      </w:r>
    </w:p>
    <w:sectPr w:rsidR="00B628CC" w:rsidRPr="00B628CC">
      <w:footerReference w:type="default" r:id="rId8"/>
      <w:pgSz w:w="11907" w:h="16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BC9674" w14:textId="77777777" w:rsidR="00534CD9" w:rsidRDefault="00534CD9">
      <w:r>
        <w:separator/>
      </w:r>
    </w:p>
  </w:endnote>
  <w:endnote w:type="continuationSeparator" w:id="0">
    <w:p w14:paraId="3420072E" w14:textId="77777777" w:rsidR="00534CD9" w:rsidRDefault="0053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E846E3D-D8D6-574F-84BC-515CA12AB7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8382B586-5F71-324C-A3B1-A3B7FF36CD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017AA1F-37C7-E444-AFF1-9A446FDC9596}"/>
    <w:embedBold r:id="rId4" w:fontKey="{0F7723E4-264F-394F-8EE0-6BB6E3B418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B1B1ADF6-0002-AC49-9775-0325911E2C64}"/>
    <w:embedBold r:id="rId6" w:fontKey="{ABDCA250-EE86-D84F-A225-02BACEACF3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D403DFB-7229-7049-8F3C-6006F07E70EC}"/>
    <w:embedItalic r:id="rId8" w:fontKey="{38C419BF-5D1E-9441-8A59-775DEAF5C6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C907B34-9F0E-8B48-800A-F67668E2D828}"/>
    <w:embedBold r:id="rId10" w:fontKey="{90050CB4-3537-7147-8333-F69EF1FB131E}"/>
    <w:embedItalic r:id="rId11" w:fontKey="{DC72A614-28D9-7643-9C13-61C8D11BBA14}"/>
    <w:embedBoldItalic r:id="rId12" w:fontKey="{58897423-1155-9049-95DA-4A1F05A7B5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EFC062BD-E185-DD40-88BA-C5347B438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7105A9BD" w:rsidR="00C31E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A62259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77777777" w:rsidR="00C31EA3" w:rsidRDefault="00C31E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C50454" w14:textId="77777777" w:rsidR="00534CD9" w:rsidRDefault="00534CD9">
      <w:r>
        <w:separator/>
      </w:r>
    </w:p>
  </w:footnote>
  <w:footnote w:type="continuationSeparator" w:id="0">
    <w:p w14:paraId="28C3AD5F" w14:textId="77777777" w:rsidR="00534CD9" w:rsidRDefault="00534C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672CD3"/>
    <w:multiLevelType w:val="multilevel"/>
    <w:tmpl w:val="96B8AB5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46638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EA3"/>
    <w:rsid w:val="000A5181"/>
    <w:rsid w:val="001D25CD"/>
    <w:rsid w:val="00237C31"/>
    <w:rsid w:val="00292F6B"/>
    <w:rsid w:val="002A7478"/>
    <w:rsid w:val="002F54EE"/>
    <w:rsid w:val="00534CD9"/>
    <w:rsid w:val="005619A9"/>
    <w:rsid w:val="006740DC"/>
    <w:rsid w:val="00745044"/>
    <w:rsid w:val="00796B2A"/>
    <w:rsid w:val="00934564"/>
    <w:rsid w:val="00A62259"/>
    <w:rsid w:val="00B628CC"/>
    <w:rsid w:val="00BD334F"/>
    <w:rsid w:val="00C31EA3"/>
    <w:rsid w:val="00D95498"/>
    <w:rsid w:val="00FD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DABC3A1"/>
  <w15:docId w15:val="{0DB33B90-1F54-2643-A47F-491AD7F9C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iaaspace.org/pd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11762</TotalTime>
  <Pages>3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Patrick K. King</cp:lastModifiedBy>
  <cp:revision>13</cp:revision>
  <dcterms:created xsi:type="dcterms:W3CDTF">2024-11-22T13:24:00Z</dcterms:created>
  <dcterms:modified xsi:type="dcterms:W3CDTF">2024-12-04T21:26:00Z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