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0494F" w:rsidRDefault="00000000">
      <w:pPr>
        <w:jc w:val="center"/>
        <w:rPr>
          <w:rFonts w:ascii="Arial" w:eastAsia="Arial" w:hAnsi="Arial" w:cs="Arial"/>
          <w:b/>
        </w:rPr>
      </w:pPr>
      <w:r>
        <w:rPr>
          <w:rFonts w:ascii="Arial" w:eastAsia="Arial" w:hAnsi="Arial" w:cs="Arial"/>
          <w:b/>
        </w:rPr>
        <w:t>PDC2025</w:t>
      </w:r>
    </w:p>
    <w:p w14:paraId="00000002" w14:textId="77777777" w:rsidR="0080494F" w:rsidRDefault="00000000">
      <w:pPr>
        <w:jc w:val="center"/>
        <w:rPr>
          <w:rFonts w:ascii="Arial" w:eastAsia="Arial" w:hAnsi="Arial" w:cs="Arial"/>
          <w:b/>
        </w:rPr>
      </w:pPr>
      <w:r>
        <w:rPr>
          <w:rFonts w:ascii="Arial" w:eastAsia="Arial" w:hAnsi="Arial" w:cs="Arial"/>
          <w:b/>
        </w:rPr>
        <w:t>Stellenbosch, Cape Town, South Africa</w:t>
      </w:r>
    </w:p>
    <w:p w14:paraId="00000003" w14:textId="77777777" w:rsidR="0080494F" w:rsidRDefault="0080494F">
      <w:pPr>
        <w:jc w:val="center"/>
        <w:rPr>
          <w:rFonts w:ascii="Arial" w:eastAsia="Arial" w:hAnsi="Arial" w:cs="Arial"/>
          <w:b/>
        </w:rPr>
      </w:pPr>
    </w:p>
    <w:p w14:paraId="00000004" w14:textId="77777777" w:rsidR="0080494F" w:rsidRDefault="0080494F">
      <w:pPr>
        <w:jc w:val="center"/>
        <w:rPr>
          <w:rFonts w:ascii="Arial" w:eastAsia="Arial" w:hAnsi="Arial" w:cs="Arial"/>
          <w:b/>
        </w:rPr>
      </w:pPr>
    </w:p>
    <w:p w14:paraId="00000005" w14:textId="77777777" w:rsidR="0080494F" w:rsidRDefault="00000000">
      <w:pPr>
        <w:jc w:val="center"/>
        <w:rPr>
          <w:rFonts w:ascii="Arial" w:eastAsia="Arial" w:hAnsi="Arial" w:cs="Arial"/>
          <w:i/>
        </w:rPr>
      </w:pPr>
      <w:r>
        <w:rPr>
          <w:rFonts w:ascii="Arial" w:eastAsia="Arial" w:hAnsi="Arial" w:cs="Arial"/>
          <w:i/>
        </w:rPr>
        <w:t xml:space="preserve">Please submit your abstract at </w:t>
      </w:r>
      <w:hyperlink r:id="rId8">
        <w:r>
          <w:rPr>
            <w:rFonts w:ascii="Arial" w:eastAsia="Arial" w:hAnsi="Arial" w:cs="Arial"/>
            <w:i/>
            <w:color w:val="0000FF"/>
            <w:u w:val="single"/>
          </w:rPr>
          <w:t>https://iaaspace.org/pdc</w:t>
        </w:r>
      </w:hyperlink>
      <w:r>
        <w:rPr>
          <w:rFonts w:ascii="Arial" w:eastAsia="Arial" w:hAnsi="Arial" w:cs="Arial"/>
          <w:i/>
        </w:rPr>
        <w:t>.</w:t>
      </w:r>
    </w:p>
    <w:p w14:paraId="00000006" w14:textId="77777777" w:rsidR="0080494F" w:rsidRDefault="0080494F">
      <w:pPr>
        <w:jc w:val="center"/>
        <w:rPr>
          <w:rFonts w:ascii="Arial" w:eastAsia="Arial" w:hAnsi="Arial" w:cs="Arial"/>
          <w:b/>
        </w:rPr>
      </w:pPr>
    </w:p>
    <w:p w14:paraId="00000007" w14:textId="77777777" w:rsidR="0080494F" w:rsidRDefault="00000000">
      <w:pPr>
        <w:jc w:val="center"/>
        <w:rPr>
          <w:rFonts w:ascii="Arial" w:eastAsia="Arial" w:hAnsi="Arial" w:cs="Arial"/>
          <w:i/>
        </w:rPr>
      </w:pPr>
      <w:r>
        <w:rPr>
          <w:rFonts w:ascii="Arial" w:eastAsia="Arial" w:hAnsi="Arial" w:cs="Arial"/>
          <w:i/>
        </w:rPr>
        <w:t>(please select the topic that best fits your abstract from the list below)</w:t>
      </w:r>
    </w:p>
    <w:p w14:paraId="00000008" w14:textId="77777777" w:rsidR="0080494F" w:rsidRDefault="00000000">
      <w:pPr>
        <w:jc w:val="center"/>
        <w:rPr>
          <w:rFonts w:ascii="Arial" w:eastAsia="Arial" w:hAnsi="Arial" w:cs="Arial"/>
          <w:i/>
        </w:rPr>
      </w:pPr>
      <w:r>
        <w:rPr>
          <w:rFonts w:ascii="Arial" w:eastAsia="Arial" w:hAnsi="Arial" w:cs="Arial"/>
          <w:i/>
        </w:rPr>
        <w:t>(you may also add a general comment - see end of this document)</w:t>
      </w:r>
    </w:p>
    <w:p w14:paraId="00000009" w14:textId="77777777" w:rsidR="0080494F" w:rsidRDefault="0080494F">
      <w:pPr>
        <w:jc w:val="center"/>
        <w:rPr>
          <w:rFonts w:ascii="Arial" w:eastAsia="Arial" w:hAnsi="Arial" w:cs="Arial"/>
          <w:i/>
        </w:rPr>
      </w:pPr>
    </w:p>
    <w:p w14:paraId="0000000A" w14:textId="77777777" w:rsidR="0080494F" w:rsidRDefault="00000000">
      <w:pPr>
        <w:rPr>
          <w:rFonts w:ascii="Arial" w:eastAsia="Arial" w:hAnsi="Arial" w:cs="Arial"/>
          <w:b/>
        </w:rPr>
      </w:pPr>
      <w:bookmarkStart w:id="0" w:name="gjdgxs" w:colFirst="0" w:colLast="0"/>
      <w:bookmarkEnd w:id="0"/>
      <w:r>
        <w:rPr>
          <w:rFonts w:ascii="Arial" w:eastAsia="Arial" w:hAnsi="Arial" w:cs="Arial"/>
          <w:b/>
        </w:rPr>
        <w:t>☐ Ongoing and Upcoming Mission Highlights</w:t>
      </w:r>
    </w:p>
    <w:p w14:paraId="0000000B" w14:textId="77777777" w:rsidR="0080494F" w:rsidRDefault="00000000">
      <w:pPr>
        <w:rPr>
          <w:rFonts w:ascii="Arial" w:eastAsia="Arial" w:hAnsi="Arial" w:cs="Arial"/>
          <w:b/>
        </w:rPr>
      </w:pPr>
      <w:r>
        <w:rPr>
          <w:rFonts w:ascii="Arial" w:eastAsia="Arial" w:hAnsi="Arial" w:cs="Arial"/>
          <w:b/>
        </w:rPr>
        <w:t>☐ Apophis: T-4 Years</w:t>
      </w:r>
    </w:p>
    <w:p w14:paraId="0000000C" w14:textId="77777777" w:rsidR="0080494F" w:rsidRDefault="00000000">
      <w:pPr>
        <w:rPr>
          <w:rFonts w:ascii="Arial" w:eastAsia="Arial" w:hAnsi="Arial" w:cs="Arial"/>
          <w:b/>
        </w:rPr>
      </w:pPr>
      <w:r>
        <w:rPr>
          <w:rFonts w:ascii="Arial" w:eastAsia="Arial" w:hAnsi="Arial" w:cs="Arial"/>
          <w:b/>
        </w:rPr>
        <w:t>☐ Hypothetical Asteroid Threat Exercise</w:t>
      </w:r>
    </w:p>
    <w:p w14:paraId="0000000D" w14:textId="77777777" w:rsidR="0080494F" w:rsidRDefault="00000000">
      <w:pPr>
        <w:rPr>
          <w:rFonts w:ascii="Arial" w:eastAsia="Arial" w:hAnsi="Arial" w:cs="Arial"/>
          <w:b/>
        </w:rPr>
      </w:pPr>
      <w:r>
        <w:rPr>
          <w:rFonts w:ascii="Arial" w:eastAsia="Arial" w:hAnsi="Arial" w:cs="Arial"/>
          <w:b/>
        </w:rPr>
        <w:t>☐ Key International and Policy Developments</w:t>
      </w:r>
    </w:p>
    <w:p w14:paraId="0000000E" w14:textId="77777777" w:rsidR="0080494F" w:rsidRDefault="00000000">
      <w:pPr>
        <w:rPr>
          <w:rFonts w:ascii="Arial" w:eastAsia="Arial" w:hAnsi="Arial" w:cs="Arial"/>
          <w:b/>
        </w:rPr>
      </w:pPr>
      <w:r>
        <w:rPr>
          <w:rFonts w:ascii="Arial" w:eastAsia="Arial" w:hAnsi="Arial" w:cs="Arial"/>
          <w:b/>
        </w:rPr>
        <w:t>☐ Near-Earth Object (NEO) Discovery</w:t>
      </w:r>
    </w:p>
    <w:p w14:paraId="0000000F" w14:textId="77777777" w:rsidR="0080494F" w:rsidRDefault="00000000">
      <w:pPr>
        <w:rPr>
          <w:rFonts w:ascii="Arial" w:eastAsia="Arial" w:hAnsi="Arial" w:cs="Arial"/>
          <w:b/>
        </w:rPr>
      </w:pPr>
      <w:r>
        <w:rPr>
          <w:rFonts w:ascii="Arial" w:eastAsia="Arial" w:hAnsi="Arial" w:cs="Arial"/>
          <w:b/>
        </w:rPr>
        <w:t>☐ NEO Characterization</w:t>
      </w:r>
    </w:p>
    <w:p w14:paraId="00000010" w14:textId="77777777" w:rsidR="0080494F" w:rsidRDefault="00000000">
      <w:pPr>
        <w:rPr>
          <w:rFonts w:ascii="Arial" w:eastAsia="Arial" w:hAnsi="Arial" w:cs="Arial"/>
          <w:b/>
        </w:rPr>
      </w:pPr>
      <w:r>
        <w:rPr>
          <w:rFonts w:ascii="Arial" w:eastAsia="Arial" w:hAnsi="Arial" w:cs="Arial"/>
          <w:b/>
        </w:rPr>
        <w:t>☐ Deflection / Disruption Modeling &amp; Testing</w:t>
      </w:r>
    </w:p>
    <w:p w14:paraId="00000011" w14:textId="77777777" w:rsidR="0080494F" w:rsidRDefault="00000000">
      <w:pPr>
        <w:rPr>
          <w:rFonts w:ascii="Arial" w:eastAsia="Arial" w:hAnsi="Arial" w:cs="Arial"/>
          <w:b/>
        </w:rPr>
      </w:pPr>
      <w:r>
        <w:rPr>
          <w:rFonts w:ascii="Arial" w:eastAsia="Arial" w:hAnsi="Arial" w:cs="Arial"/>
          <w:b/>
        </w:rPr>
        <w:t>☐ Space Mission &amp; Campaign Design</w:t>
      </w:r>
    </w:p>
    <w:p w14:paraId="00000012" w14:textId="77777777" w:rsidR="0080494F" w:rsidRDefault="00000000">
      <w:pPr>
        <w:rPr>
          <w:rFonts w:ascii="Arial" w:eastAsia="Arial" w:hAnsi="Arial" w:cs="Arial"/>
          <w:b/>
        </w:rPr>
      </w:pPr>
      <w:r>
        <w:rPr>
          <w:rFonts w:ascii="Arial" w:eastAsia="Arial" w:hAnsi="Arial" w:cs="Arial"/>
          <w:b/>
        </w:rPr>
        <w:t>☐ Earth Impact Effects &amp; Consequences</w:t>
      </w:r>
    </w:p>
    <w:p w14:paraId="00000013" w14:textId="77777777" w:rsidR="0080494F" w:rsidRDefault="00000000">
      <w:pPr>
        <w:rPr>
          <w:rFonts w:ascii="Arial" w:eastAsia="Arial" w:hAnsi="Arial" w:cs="Arial"/>
          <w:b/>
        </w:rPr>
      </w:pPr>
      <w:r>
        <w:rPr>
          <w:rFonts w:ascii="Arial" w:eastAsia="Arial" w:hAnsi="Arial" w:cs="Arial"/>
          <w:b/>
        </w:rPr>
        <w:t>☐ Disaster Management &amp; Impact Response</w:t>
      </w:r>
    </w:p>
    <w:p w14:paraId="00000014" w14:textId="77777777" w:rsidR="0080494F" w:rsidRDefault="00000000">
      <w:pPr>
        <w:rPr>
          <w:rFonts w:ascii="Arial" w:eastAsia="Arial" w:hAnsi="Arial" w:cs="Arial"/>
          <w:b/>
        </w:rPr>
      </w:pPr>
      <w:r>
        <w:rPr>
          <w:rFonts w:ascii="Arial" w:eastAsia="Arial" w:hAnsi="Arial" w:cs="Arial"/>
          <w:b/>
        </w:rPr>
        <w:t>☐ Public Education and Communication</w:t>
      </w:r>
    </w:p>
    <w:p w14:paraId="00000015" w14:textId="77777777" w:rsidR="0080494F" w:rsidRDefault="00000000">
      <w:pPr>
        <w:rPr>
          <w:rFonts w:ascii="Arial" w:eastAsia="Arial" w:hAnsi="Arial" w:cs="Arial"/>
          <w:b/>
        </w:rPr>
      </w:pPr>
      <w:r>
        <w:rPr>
          <w:rFonts w:ascii="Arial" w:eastAsia="Arial" w:hAnsi="Arial" w:cs="Arial"/>
          <w:b/>
        </w:rPr>
        <w:t>☐ The Decision to Act: Political, Legal, Social, and Economic Aspects</w:t>
      </w:r>
    </w:p>
    <w:p w14:paraId="00000016" w14:textId="77777777" w:rsidR="0080494F" w:rsidRDefault="0080494F">
      <w:pPr>
        <w:jc w:val="center"/>
        <w:rPr>
          <w:rFonts w:ascii="Arial" w:eastAsia="Arial" w:hAnsi="Arial" w:cs="Arial"/>
          <w:b/>
        </w:rPr>
      </w:pPr>
    </w:p>
    <w:p w14:paraId="7641EF63" w14:textId="77777777" w:rsidR="005A1B69" w:rsidRDefault="005A1B69">
      <w:pPr>
        <w:jc w:val="center"/>
        <w:rPr>
          <w:rFonts w:ascii="Arial" w:eastAsia="Arial" w:hAnsi="Arial" w:cs="Arial"/>
          <w:b/>
        </w:rPr>
      </w:pPr>
    </w:p>
    <w:p w14:paraId="6F8498D9" w14:textId="77777777" w:rsidR="005A1B69" w:rsidRDefault="005A1B69">
      <w:pPr>
        <w:jc w:val="center"/>
        <w:rPr>
          <w:rFonts w:ascii="Arial" w:eastAsia="Arial" w:hAnsi="Arial" w:cs="Arial"/>
          <w:b/>
        </w:rPr>
      </w:pPr>
    </w:p>
    <w:p w14:paraId="138423D1" w14:textId="77777777" w:rsidR="005A1B69" w:rsidRDefault="005A1B69">
      <w:pPr>
        <w:jc w:val="center"/>
        <w:rPr>
          <w:rFonts w:ascii="Arial" w:eastAsia="Arial" w:hAnsi="Arial" w:cs="Arial"/>
          <w:b/>
        </w:rPr>
      </w:pPr>
    </w:p>
    <w:p w14:paraId="00602DBE" w14:textId="77777777" w:rsidR="005A1B69" w:rsidRDefault="005A1B69">
      <w:pPr>
        <w:jc w:val="center"/>
        <w:rPr>
          <w:rFonts w:ascii="Arial" w:eastAsia="Arial" w:hAnsi="Arial" w:cs="Arial"/>
          <w:b/>
        </w:rPr>
      </w:pPr>
    </w:p>
    <w:p w14:paraId="729ED099" w14:textId="77777777" w:rsidR="005A1B69" w:rsidRDefault="005A1B69">
      <w:pPr>
        <w:jc w:val="center"/>
        <w:rPr>
          <w:rFonts w:ascii="Arial" w:eastAsia="Arial" w:hAnsi="Arial" w:cs="Arial"/>
          <w:b/>
        </w:rPr>
      </w:pPr>
    </w:p>
    <w:p w14:paraId="37961321" w14:textId="77777777" w:rsidR="005A1B69" w:rsidRDefault="005A1B69">
      <w:pPr>
        <w:jc w:val="center"/>
        <w:rPr>
          <w:rFonts w:ascii="Arial" w:eastAsia="Arial" w:hAnsi="Arial" w:cs="Arial"/>
          <w:b/>
        </w:rPr>
      </w:pPr>
    </w:p>
    <w:p w14:paraId="332E1A5A" w14:textId="77777777" w:rsidR="005A1B69" w:rsidRDefault="005A1B69">
      <w:pPr>
        <w:jc w:val="center"/>
        <w:rPr>
          <w:rFonts w:ascii="Arial" w:eastAsia="Arial" w:hAnsi="Arial" w:cs="Arial"/>
          <w:b/>
        </w:rPr>
      </w:pPr>
    </w:p>
    <w:p w14:paraId="7945B3AC" w14:textId="77777777" w:rsidR="005A1B69" w:rsidRDefault="005A1B69">
      <w:pPr>
        <w:jc w:val="center"/>
        <w:rPr>
          <w:rFonts w:ascii="Arial" w:eastAsia="Arial" w:hAnsi="Arial" w:cs="Arial"/>
          <w:b/>
        </w:rPr>
      </w:pPr>
    </w:p>
    <w:p w14:paraId="744801AF" w14:textId="77777777" w:rsidR="005A1B69" w:rsidRDefault="005A1B69">
      <w:pPr>
        <w:jc w:val="center"/>
        <w:rPr>
          <w:rFonts w:ascii="Arial" w:eastAsia="Arial" w:hAnsi="Arial" w:cs="Arial"/>
          <w:b/>
        </w:rPr>
      </w:pPr>
    </w:p>
    <w:p w14:paraId="7CB6751A" w14:textId="77777777" w:rsidR="005A1B69" w:rsidRDefault="005A1B69">
      <w:pPr>
        <w:jc w:val="center"/>
        <w:rPr>
          <w:rFonts w:ascii="Arial" w:eastAsia="Arial" w:hAnsi="Arial" w:cs="Arial"/>
          <w:b/>
        </w:rPr>
      </w:pPr>
    </w:p>
    <w:p w14:paraId="5E510FCF" w14:textId="77777777" w:rsidR="005A1B69" w:rsidRDefault="005A1B69">
      <w:pPr>
        <w:jc w:val="center"/>
        <w:rPr>
          <w:rFonts w:ascii="Arial" w:eastAsia="Arial" w:hAnsi="Arial" w:cs="Arial"/>
          <w:b/>
        </w:rPr>
      </w:pPr>
    </w:p>
    <w:p w14:paraId="170BF610" w14:textId="77777777" w:rsidR="005A1B69" w:rsidRDefault="005A1B69">
      <w:pPr>
        <w:jc w:val="center"/>
        <w:rPr>
          <w:rFonts w:ascii="Arial" w:eastAsia="Arial" w:hAnsi="Arial" w:cs="Arial"/>
          <w:b/>
        </w:rPr>
      </w:pPr>
    </w:p>
    <w:p w14:paraId="2496E032" w14:textId="77777777" w:rsidR="005A1B69" w:rsidRDefault="005A1B69">
      <w:pPr>
        <w:jc w:val="center"/>
        <w:rPr>
          <w:rFonts w:ascii="Arial" w:eastAsia="Arial" w:hAnsi="Arial" w:cs="Arial"/>
          <w:b/>
        </w:rPr>
      </w:pPr>
    </w:p>
    <w:p w14:paraId="2FB68552" w14:textId="77777777" w:rsidR="005A1B69" w:rsidRDefault="005A1B69">
      <w:pPr>
        <w:jc w:val="center"/>
        <w:rPr>
          <w:rFonts w:ascii="Arial" w:eastAsia="Arial" w:hAnsi="Arial" w:cs="Arial"/>
          <w:b/>
        </w:rPr>
      </w:pPr>
    </w:p>
    <w:p w14:paraId="1BA28815" w14:textId="77777777" w:rsidR="005A1B69" w:rsidRDefault="005A1B69">
      <w:pPr>
        <w:jc w:val="center"/>
        <w:rPr>
          <w:rFonts w:ascii="Arial" w:eastAsia="Arial" w:hAnsi="Arial" w:cs="Arial"/>
          <w:b/>
        </w:rPr>
      </w:pPr>
    </w:p>
    <w:p w14:paraId="75A85C79" w14:textId="77777777" w:rsidR="005A1B69" w:rsidRDefault="005A1B69">
      <w:pPr>
        <w:jc w:val="center"/>
        <w:rPr>
          <w:rFonts w:ascii="Arial" w:eastAsia="Arial" w:hAnsi="Arial" w:cs="Arial"/>
          <w:b/>
        </w:rPr>
      </w:pPr>
    </w:p>
    <w:p w14:paraId="65EC483E" w14:textId="77777777" w:rsidR="005A1B69" w:rsidRDefault="005A1B69">
      <w:pPr>
        <w:jc w:val="center"/>
        <w:rPr>
          <w:rFonts w:ascii="Arial" w:eastAsia="Arial" w:hAnsi="Arial" w:cs="Arial"/>
          <w:b/>
        </w:rPr>
      </w:pPr>
    </w:p>
    <w:p w14:paraId="6E241B2F" w14:textId="77777777" w:rsidR="005A1B69" w:rsidRDefault="005A1B69">
      <w:pPr>
        <w:jc w:val="center"/>
        <w:rPr>
          <w:rFonts w:ascii="Arial" w:eastAsia="Arial" w:hAnsi="Arial" w:cs="Arial"/>
          <w:b/>
        </w:rPr>
      </w:pPr>
    </w:p>
    <w:p w14:paraId="2F89674D" w14:textId="77777777" w:rsidR="005A1B69" w:rsidRDefault="005A1B69">
      <w:pPr>
        <w:jc w:val="center"/>
        <w:rPr>
          <w:rFonts w:ascii="Arial" w:eastAsia="Arial" w:hAnsi="Arial" w:cs="Arial"/>
          <w:b/>
        </w:rPr>
      </w:pPr>
    </w:p>
    <w:p w14:paraId="2CC3E8F6" w14:textId="77777777" w:rsidR="005A1B69" w:rsidRDefault="005A1B69">
      <w:pPr>
        <w:jc w:val="center"/>
        <w:rPr>
          <w:rFonts w:ascii="Arial" w:eastAsia="Arial" w:hAnsi="Arial" w:cs="Arial"/>
          <w:b/>
        </w:rPr>
      </w:pPr>
    </w:p>
    <w:p w14:paraId="3D9B2399" w14:textId="77777777" w:rsidR="005A1B69" w:rsidRDefault="005A1B69">
      <w:pPr>
        <w:jc w:val="center"/>
        <w:rPr>
          <w:rFonts w:ascii="Arial" w:eastAsia="Arial" w:hAnsi="Arial" w:cs="Arial"/>
          <w:b/>
        </w:rPr>
      </w:pPr>
    </w:p>
    <w:p w14:paraId="2063EB31" w14:textId="77777777" w:rsidR="004412C7" w:rsidRDefault="004412C7">
      <w:pPr>
        <w:jc w:val="center"/>
        <w:rPr>
          <w:rFonts w:ascii="Arial" w:eastAsia="Arial" w:hAnsi="Arial" w:cs="Arial"/>
          <w:b/>
        </w:rPr>
      </w:pPr>
    </w:p>
    <w:p w14:paraId="4B9C4349" w14:textId="77777777" w:rsidR="005A1B69" w:rsidRDefault="005A1B69">
      <w:pPr>
        <w:jc w:val="center"/>
        <w:rPr>
          <w:rFonts w:ascii="Arial" w:eastAsia="Arial" w:hAnsi="Arial" w:cs="Arial"/>
          <w:b/>
        </w:rPr>
      </w:pPr>
    </w:p>
    <w:p w14:paraId="32C5D963" w14:textId="77777777" w:rsidR="005A1B69" w:rsidRDefault="005A1B69">
      <w:pPr>
        <w:jc w:val="center"/>
        <w:rPr>
          <w:rFonts w:ascii="Arial" w:eastAsia="Arial" w:hAnsi="Arial" w:cs="Arial"/>
          <w:b/>
        </w:rPr>
      </w:pPr>
    </w:p>
    <w:p w14:paraId="661CA05E" w14:textId="77777777" w:rsidR="005A1B69" w:rsidRDefault="005A1B69">
      <w:pPr>
        <w:jc w:val="center"/>
        <w:rPr>
          <w:rFonts w:ascii="Arial" w:eastAsia="Arial" w:hAnsi="Arial" w:cs="Arial"/>
          <w:b/>
        </w:rPr>
      </w:pPr>
    </w:p>
    <w:p w14:paraId="00000017" w14:textId="77777777" w:rsidR="0080494F" w:rsidRDefault="0080494F">
      <w:pPr>
        <w:jc w:val="center"/>
        <w:rPr>
          <w:rFonts w:ascii="Arial" w:eastAsia="Arial" w:hAnsi="Arial" w:cs="Arial"/>
          <w:b/>
        </w:rPr>
      </w:pPr>
    </w:p>
    <w:p w14:paraId="00000019" w14:textId="48577119" w:rsidR="0080494F" w:rsidRDefault="0084513C" w:rsidP="0084513C">
      <w:pPr>
        <w:jc w:val="center"/>
        <w:rPr>
          <w:rFonts w:ascii="Arial" w:eastAsia="Arial" w:hAnsi="Arial" w:cs="Arial"/>
          <w:b/>
        </w:rPr>
      </w:pPr>
      <w:r>
        <w:rPr>
          <w:rFonts w:ascii="Arial" w:eastAsia="Arial" w:hAnsi="Arial" w:cs="Arial"/>
          <w:b/>
        </w:rPr>
        <w:lastRenderedPageBreak/>
        <w:t>LOSSOL: Line of Sight Speed of Light Directed Energy Technologies for Planetary Defense</w:t>
      </w:r>
    </w:p>
    <w:p w14:paraId="48471608" w14:textId="77777777" w:rsidR="0084513C" w:rsidRDefault="0084513C" w:rsidP="0084513C">
      <w:pPr>
        <w:jc w:val="center"/>
        <w:rPr>
          <w:rFonts w:ascii="Arial" w:eastAsia="Arial" w:hAnsi="Arial" w:cs="Arial"/>
          <w:b/>
        </w:rPr>
      </w:pPr>
    </w:p>
    <w:p w14:paraId="264E4277" w14:textId="77777777" w:rsidR="0084513C" w:rsidRDefault="0084513C">
      <w:pPr>
        <w:jc w:val="center"/>
        <w:rPr>
          <w:rFonts w:ascii="Arial" w:eastAsia="Arial" w:hAnsi="Arial" w:cs="Arial"/>
          <w:b/>
        </w:rPr>
      </w:pPr>
      <w:r>
        <w:rPr>
          <w:rFonts w:ascii="Arial" w:eastAsia="Arial" w:hAnsi="Arial" w:cs="Arial"/>
          <w:b/>
        </w:rPr>
        <w:t>Madhu Thangavelu</w:t>
      </w:r>
    </w:p>
    <w:p w14:paraId="0FB5ED5F" w14:textId="21DC2754" w:rsidR="0084513C" w:rsidRPr="0084513C" w:rsidRDefault="0084513C">
      <w:pPr>
        <w:jc w:val="center"/>
        <w:rPr>
          <w:rFonts w:ascii="Arial" w:eastAsia="Arial" w:hAnsi="Arial" w:cs="Arial"/>
          <w:bCs/>
        </w:rPr>
      </w:pPr>
      <w:r w:rsidRPr="0084513C">
        <w:rPr>
          <w:rFonts w:ascii="Arial" w:eastAsia="Arial" w:hAnsi="Arial" w:cs="Arial"/>
          <w:bCs/>
        </w:rPr>
        <w:t>Department of Astronautical Engineering</w:t>
      </w:r>
      <w:r>
        <w:rPr>
          <w:rFonts w:ascii="Arial" w:eastAsia="Arial" w:hAnsi="Arial" w:cs="Arial"/>
          <w:bCs/>
        </w:rPr>
        <w:t>, Viterbi School of Engineering,</w:t>
      </w:r>
      <w:r w:rsidRPr="0084513C">
        <w:rPr>
          <w:rFonts w:ascii="Arial" w:eastAsia="Arial" w:hAnsi="Arial" w:cs="Arial"/>
          <w:bCs/>
        </w:rPr>
        <w:t xml:space="preserve"> </w:t>
      </w:r>
      <w:r w:rsidRPr="0084513C">
        <w:rPr>
          <w:rFonts w:ascii="Arial" w:eastAsia="Arial" w:hAnsi="Arial" w:cs="Arial"/>
          <w:bCs/>
        </w:rPr>
        <w:t>Olin Hall of Engineering</w:t>
      </w:r>
      <w:r w:rsidRPr="0084513C">
        <w:rPr>
          <w:rFonts w:ascii="Arial" w:eastAsia="Arial" w:hAnsi="Arial" w:cs="Arial"/>
          <w:bCs/>
        </w:rPr>
        <w:t xml:space="preserve"> and the School of Architecture</w:t>
      </w:r>
      <w:r>
        <w:rPr>
          <w:rFonts w:ascii="Arial" w:eastAsia="Arial" w:hAnsi="Arial" w:cs="Arial"/>
          <w:bCs/>
        </w:rPr>
        <w:t>, Watt Hall,</w:t>
      </w:r>
    </w:p>
    <w:p w14:paraId="30E0BCBD" w14:textId="15DD88A0" w:rsidR="0084513C" w:rsidRDefault="0084513C">
      <w:pPr>
        <w:jc w:val="center"/>
        <w:rPr>
          <w:rFonts w:ascii="Arial" w:eastAsia="Arial" w:hAnsi="Arial" w:cs="Arial"/>
          <w:bCs/>
        </w:rPr>
      </w:pPr>
      <w:r w:rsidRPr="0084513C">
        <w:rPr>
          <w:rFonts w:ascii="Arial" w:eastAsia="Arial" w:hAnsi="Arial" w:cs="Arial"/>
          <w:bCs/>
        </w:rPr>
        <w:t>University of Southern California, University Park</w:t>
      </w:r>
      <w:r>
        <w:rPr>
          <w:rFonts w:ascii="Arial" w:eastAsia="Arial" w:hAnsi="Arial" w:cs="Arial"/>
          <w:bCs/>
        </w:rPr>
        <w:t>,</w:t>
      </w:r>
      <w:r w:rsidRPr="0084513C">
        <w:rPr>
          <w:rFonts w:ascii="Arial" w:eastAsia="Arial" w:hAnsi="Arial" w:cs="Arial"/>
          <w:bCs/>
        </w:rPr>
        <w:t xml:space="preserve"> </w:t>
      </w:r>
    </w:p>
    <w:p w14:paraId="1BA74DA9" w14:textId="77777777" w:rsidR="0084513C" w:rsidRDefault="0084513C" w:rsidP="0084513C">
      <w:pPr>
        <w:jc w:val="center"/>
        <w:rPr>
          <w:rFonts w:ascii="Arial" w:eastAsia="Arial" w:hAnsi="Arial" w:cs="Arial"/>
          <w:bCs/>
        </w:rPr>
      </w:pPr>
      <w:r w:rsidRPr="0084513C">
        <w:rPr>
          <w:rFonts w:ascii="Arial" w:eastAsia="Arial" w:hAnsi="Arial" w:cs="Arial"/>
          <w:bCs/>
        </w:rPr>
        <w:t>Los Angeles, California, 90089-1191 USA, 310 561 2890</w:t>
      </w:r>
      <w:r>
        <w:rPr>
          <w:rFonts w:ascii="Arial" w:eastAsia="Arial" w:hAnsi="Arial" w:cs="Arial"/>
          <w:bCs/>
        </w:rPr>
        <w:t xml:space="preserve"> </w:t>
      </w:r>
    </w:p>
    <w:p w14:paraId="0AC15C90" w14:textId="3708BD3B" w:rsidR="000D2FF0" w:rsidRPr="000D2FF0" w:rsidRDefault="0084513C" w:rsidP="000D2FF0">
      <w:pPr>
        <w:jc w:val="center"/>
        <w:rPr>
          <w:rFonts w:ascii="Arial" w:eastAsia="Arial" w:hAnsi="Arial" w:cs="Arial"/>
          <w:i/>
        </w:rPr>
      </w:pPr>
      <w:r>
        <w:rPr>
          <w:rFonts w:ascii="Arial" w:eastAsia="Arial" w:hAnsi="Arial" w:cs="Arial"/>
          <w:bCs/>
        </w:rPr>
        <w:t>mthangav@usc.edu</w:t>
      </w:r>
      <w:r>
        <w:rPr>
          <w:rFonts w:ascii="Arial" w:eastAsia="Arial" w:hAnsi="Arial" w:cs="Arial"/>
          <w:i/>
        </w:rPr>
        <w:t xml:space="preserve"> </w:t>
      </w:r>
    </w:p>
    <w:p w14:paraId="0000001D" w14:textId="77777777" w:rsidR="0080494F" w:rsidRDefault="0080494F">
      <w:pPr>
        <w:jc w:val="center"/>
        <w:rPr>
          <w:rFonts w:ascii="Arial" w:eastAsia="Arial" w:hAnsi="Arial" w:cs="Arial"/>
        </w:rPr>
      </w:pPr>
    </w:p>
    <w:p w14:paraId="0000001E" w14:textId="4D7E6F6E" w:rsidR="0080494F" w:rsidRDefault="00000000">
      <w:pPr>
        <w:jc w:val="both"/>
        <w:rPr>
          <w:rFonts w:ascii="Arial" w:eastAsia="Arial" w:hAnsi="Arial" w:cs="Arial"/>
          <w:i/>
        </w:rPr>
      </w:pPr>
      <w:r>
        <w:rPr>
          <w:rFonts w:ascii="Arial" w:eastAsia="Arial" w:hAnsi="Arial" w:cs="Arial"/>
          <w:b/>
          <w:i/>
        </w:rPr>
        <w:t>Keywords:</w:t>
      </w:r>
      <w:r>
        <w:rPr>
          <w:rFonts w:ascii="Arial" w:eastAsia="Arial" w:hAnsi="Arial" w:cs="Arial"/>
          <w:i/>
        </w:rPr>
        <w:t xml:space="preserve"> </w:t>
      </w:r>
      <w:r w:rsidR="0084513C">
        <w:rPr>
          <w:rFonts w:ascii="Arial" w:eastAsia="Arial" w:hAnsi="Arial" w:cs="Arial"/>
          <w:i/>
        </w:rPr>
        <w:t>Directed Energy</w:t>
      </w:r>
      <w:r>
        <w:rPr>
          <w:rFonts w:ascii="Arial" w:eastAsia="Arial" w:hAnsi="Arial" w:cs="Arial"/>
          <w:i/>
        </w:rPr>
        <w:t xml:space="preserve">, </w:t>
      </w:r>
      <w:r w:rsidR="0084513C">
        <w:rPr>
          <w:rFonts w:ascii="Arial" w:eastAsia="Arial" w:hAnsi="Arial" w:cs="Arial"/>
          <w:i/>
        </w:rPr>
        <w:t>High Energy Lasers</w:t>
      </w:r>
      <w:r>
        <w:rPr>
          <w:rFonts w:ascii="Arial" w:eastAsia="Arial" w:hAnsi="Arial" w:cs="Arial"/>
          <w:i/>
        </w:rPr>
        <w:t xml:space="preserve">, </w:t>
      </w:r>
      <w:r w:rsidR="0084513C">
        <w:rPr>
          <w:rFonts w:ascii="Arial" w:eastAsia="Arial" w:hAnsi="Arial" w:cs="Arial"/>
          <w:i/>
        </w:rPr>
        <w:t xml:space="preserve">Joint Earth-Moon Defense </w:t>
      </w:r>
      <w:proofErr w:type="gramStart"/>
      <w:r w:rsidR="0084513C">
        <w:rPr>
          <w:rFonts w:ascii="Arial" w:eastAsia="Arial" w:hAnsi="Arial" w:cs="Arial"/>
          <w:i/>
        </w:rPr>
        <w:t>Infrastructure(</w:t>
      </w:r>
      <w:proofErr w:type="gramEnd"/>
      <w:r w:rsidR="0084513C">
        <w:rPr>
          <w:rFonts w:ascii="Arial" w:eastAsia="Arial" w:hAnsi="Arial" w:cs="Arial"/>
          <w:i/>
        </w:rPr>
        <w:t xml:space="preserve">JEDI), </w:t>
      </w:r>
      <w:r w:rsidR="00384BC4">
        <w:rPr>
          <w:rFonts w:ascii="Arial" w:eastAsia="Arial" w:hAnsi="Arial" w:cs="Arial"/>
          <w:i/>
        </w:rPr>
        <w:t>Q-Bolt, DE-STAR, READI Project, International Space University</w:t>
      </w:r>
    </w:p>
    <w:p w14:paraId="0000001F" w14:textId="77777777" w:rsidR="0080494F" w:rsidRDefault="0080494F">
      <w:pPr>
        <w:rPr>
          <w:rFonts w:ascii="Arial" w:eastAsia="Arial" w:hAnsi="Arial" w:cs="Arial"/>
        </w:rPr>
      </w:pPr>
    </w:p>
    <w:p w14:paraId="227FA75C" w14:textId="77777777" w:rsidR="00384BC4" w:rsidRDefault="00384BC4">
      <w:pPr>
        <w:pBdr>
          <w:top w:val="nil"/>
          <w:left w:val="nil"/>
          <w:bottom w:val="nil"/>
          <w:right w:val="nil"/>
          <w:between w:val="nil"/>
        </w:pBdr>
        <w:jc w:val="both"/>
        <w:rPr>
          <w:rFonts w:ascii="Arial" w:eastAsia="Arial" w:hAnsi="Arial" w:cs="Arial"/>
          <w:color w:val="000000"/>
        </w:rPr>
      </w:pPr>
    </w:p>
    <w:p w14:paraId="1D66B8C0" w14:textId="77777777" w:rsidR="000D2FF0" w:rsidRPr="000D2FF0" w:rsidRDefault="000D2FF0" w:rsidP="000D2FF0">
      <w:pPr>
        <w:pBdr>
          <w:top w:val="nil"/>
          <w:left w:val="nil"/>
          <w:bottom w:val="nil"/>
          <w:right w:val="nil"/>
          <w:between w:val="nil"/>
        </w:pBdr>
        <w:jc w:val="both"/>
        <w:rPr>
          <w:rFonts w:ascii="Arial" w:eastAsia="Arial" w:hAnsi="Arial" w:cs="Arial"/>
          <w:color w:val="000000"/>
        </w:rPr>
      </w:pPr>
      <w:r w:rsidRPr="005A1B69">
        <w:rPr>
          <w:rFonts w:ascii="Arial" w:eastAsia="Arial" w:hAnsi="Arial" w:cs="Arial"/>
          <w:b/>
          <w:bCs/>
          <w:color w:val="000000"/>
        </w:rPr>
        <w:t>Introduction:</w:t>
      </w:r>
      <w:r w:rsidRPr="000D2FF0">
        <w:rPr>
          <w:rFonts w:ascii="Arial" w:eastAsia="Arial" w:hAnsi="Arial" w:cs="Arial"/>
          <w:color w:val="000000"/>
        </w:rPr>
        <w:t xml:space="preserve"> Many strategies have been proposed for planetary defense. Most of them deal with long period intervention proposals that range from months to years and even decades to prepare and execute. While most strategies in the literature focus on very large potentially hazardous objects, especially those massive Earth crossing asteroids within our solar system with diameters larger than 1km, the probability of such an event is deemed very rare. Surveys have identified most such objects and a network of observatories including emerging space assets continue to track and refine their orbital trajectories. From recent observations, we know that much smaller objects with dimensions that are 10-20m across are far more common, and much harder to detect in a timely manner for a variety of reasons including paucity of observation and detection assets.  Such objects, though small, can cause serious damage to critical physical infrastructure or if they happen to impact or airburst over populated regions. As populations expand over the globe and infrastructures like the intercontinental power grid global communication networks and other utilities become shared assets among nations, the threat of such an impactor causing havoc cannot be ignored.</w:t>
      </w:r>
    </w:p>
    <w:p w14:paraId="08CA6AC8" w14:textId="77777777" w:rsidR="000D2FF0" w:rsidRPr="000D2FF0" w:rsidRDefault="000D2FF0" w:rsidP="000D2FF0">
      <w:pPr>
        <w:pBdr>
          <w:top w:val="nil"/>
          <w:left w:val="nil"/>
          <w:bottom w:val="nil"/>
          <w:right w:val="nil"/>
          <w:between w:val="nil"/>
        </w:pBdr>
        <w:jc w:val="both"/>
        <w:rPr>
          <w:rFonts w:ascii="Arial" w:eastAsia="Arial" w:hAnsi="Arial" w:cs="Arial"/>
          <w:color w:val="000000"/>
        </w:rPr>
      </w:pPr>
      <w:r w:rsidRPr="000D2FF0">
        <w:rPr>
          <w:rFonts w:ascii="Arial" w:eastAsia="Arial" w:hAnsi="Arial" w:cs="Arial"/>
          <w:color w:val="000000"/>
        </w:rPr>
        <w:t>Short Warning Period Threat: While new and more sensitive observatories are being commissioned and proposed to observe and detect such a threat, such small objects continue to impact our planet with little or no warning. Such a threat with little warning and time to prepare before impact is called short warning period threat. Several short warning impactor events have been recorded in the past decade and have even hurt populations and caused citywide damage. It is only recently that attention has turned toward mitigation of short warning period threat posed by extraterrestrial impactors.</w:t>
      </w:r>
    </w:p>
    <w:p w14:paraId="586F23A4" w14:textId="77777777" w:rsidR="000D2FF0" w:rsidRPr="000D2FF0" w:rsidRDefault="000D2FF0" w:rsidP="000D2FF0">
      <w:pPr>
        <w:pBdr>
          <w:top w:val="nil"/>
          <w:left w:val="nil"/>
          <w:bottom w:val="nil"/>
          <w:right w:val="nil"/>
          <w:between w:val="nil"/>
        </w:pBdr>
        <w:jc w:val="both"/>
        <w:rPr>
          <w:rFonts w:ascii="Arial" w:eastAsia="Arial" w:hAnsi="Arial" w:cs="Arial"/>
          <w:color w:val="000000"/>
        </w:rPr>
      </w:pPr>
      <w:r w:rsidRPr="000D2FF0">
        <w:rPr>
          <w:rFonts w:ascii="Arial" w:eastAsia="Arial" w:hAnsi="Arial" w:cs="Arial"/>
          <w:color w:val="000000"/>
        </w:rPr>
        <w:t xml:space="preserve">Nuclear Option Not Viable: From past simulations and exercises conducted for Planetary Defense, it is clear that such an endeavor poses extremely sensitive policy issues, both domestic and global in nature. </w:t>
      </w:r>
      <w:proofErr w:type="gramStart"/>
      <w:r w:rsidRPr="000D2FF0">
        <w:rPr>
          <w:rFonts w:ascii="Arial" w:eastAsia="Arial" w:hAnsi="Arial" w:cs="Arial"/>
          <w:color w:val="000000"/>
        </w:rPr>
        <w:t>Therefore</w:t>
      </w:r>
      <w:proofErr w:type="gramEnd"/>
      <w:r w:rsidRPr="000D2FF0">
        <w:rPr>
          <w:rFonts w:ascii="Arial" w:eastAsia="Arial" w:hAnsi="Arial" w:cs="Arial"/>
          <w:color w:val="000000"/>
        </w:rPr>
        <w:t xml:space="preserve"> planning and strategies for mitigation have to be carefully analyzed and programmed in parallel with any suitable technology for successful mitigation. Nuclear detonation at close range may not be an option and poses thorny policy issues.  Nuclear devices may also be far too potent to engage a small body, not to mention, the mission planning preparation, coordination and execution may not be viable for a short period warning response campaign.</w:t>
      </w:r>
    </w:p>
    <w:p w14:paraId="3AB73221" w14:textId="77777777" w:rsidR="000D2FF0" w:rsidRPr="000D2FF0" w:rsidRDefault="000D2FF0" w:rsidP="000D2FF0">
      <w:pPr>
        <w:pBdr>
          <w:top w:val="nil"/>
          <w:left w:val="nil"/>
          <w:bottom w:val="nil"/>
          <w:right w:val="nil"/>
          <w:between w:val="nil"/>
        </w:pBdr>
        <w:jc w:val="both"/>
        <w:rPr>
          <w:rFonts w:ascii="Arial" w:eastAsia="Arial" w:hAnsi="Arial" w:cs="Arial"/>
          <w:color w:val="000000"/>
        </w:rPr>
      </w:pPr>
      <w:r w:rsidRPr="000D2FF0">
        <w:rPr>
          <w:rFonts w:ascii="Arial" w:eastAsia="Arial" w:hAnsi="Arial" w:cs="Arial"/>
          <w:color w:val="000000"/>
        </w:rPr>
        <w:t>High Energy Phased Array Lasers: Directed energy systems including kinetic kill devices like existing missiles and high energy phased array lasers have been proposed. The latter technology has been scaling in recent years to be effective as a PD deterrent for small objects on a terminal trajectory with short warning period.</w:t>
      </w:r>
    </w:p>
    <w:p w14:paraId="13498EF4" w14:textId="77777777" w:rsidR="00496C66" w:rsidRDefault="000D2FF0" w:rsidP="000D2FF0">
      <w:pPr>
        <w:pBdr>
          <w:top w:val="nil"/>
          <w:left w:val="nil"/>
          <w:bottom w:val="nil"/>
          <w:right w:val="nil"/>
          <w:between w:val="nil"/>
        </w:pBdr>
        <w:jc w:val="both"/>
        <w:rPr>
          <w:rFonts w:ascii="Arial" w:eastAsia="Arial" w:hAnsi="Arial" w:cs="Arial"/>
          <w:color w:val="000000"/>
        </w:rPr>
      </w:pPr>
      <w:r w:rsidRPr="000D2FF0">
        <w:rPr>
          <w:rFonts w:ascii="Arial" w:eastAsia="Arial" w:hAnsi="Arial" w:cs="Arial"/>
          <w:color w:val="000000"/>
        </w:rPr>
        <w:t xml:space="preserve">Evolution Of </w:t>
      </w:r>
      <w:proofErr w:type="gramStart"/>
      <w:r w:rsidRPr="000D2FF0">
        <w:rPr>
          <w:rFonts w:ascii="Arial" w:eastAsia="Arial" w:hAnsi="Arial" w:cs="Arial"/>
          <w:color w:val="000000"/>
        </w:rPr>
        <w:t>A</w:t>
      </w:r>
      <w:proofErr w:type="gramEnd"/>
      <w:r w:rsidRPr="000D2FF0">
        <w:rPr>
          <w:rFonts w:ascii="Arial" w:eastAsia="Arial" w:hAnsi="Arial" w:cs="Arial"/>
          <w:color w:val="000000"/>
        </w:rPr>
        <w:t xml:space="preserve"> Directed Energy PD For Diffusing Short Warning Period Threat: We present a concept for evolving a planetary defense capability using existing assets and slowly evolving the capability starting with a directed energy orbital debris </w:t>
      </w:r>
    </w:p>
    <w:p w14:paraId="202F5D1C" w14:textId="5C6B1676" w:rsidR="000D2FF0" w:rsidRDefault="000D2FF0" w:rsidP="000D2FF0">
      <w:pPr>
        <w:pBdr>
          <w:top w:val="nil"/>
          <w:left w:val="nil"/>
          <w:bottom w:val="nil"/>
          <w:right w:val="nil"/>
          <w:between w:val="nil"/>
        </w:pBdr>
        <w:jc w:val="both"/>
        <w:rPr>
          <w:rFonts w:ascii="Arial" w:eastAsia="Arial" w:hAnsi="Arial" w:cs="Arial"/>
          <w:color w:val="000000"/>
        </w:rPr>
      </w:pPr>
      <w:r w:rsidRPr="000D2FF0">
        <w:rPr>
          <w:rFonts w:ascii="Arial" w:eastAsia="Arial" w:hAnsi="Arial" w:cs="Arial"/>
          <w:color w:val="000000"/>
        </w:rPr>
        <w:lastRenderedPageBreak/>
        <w:t xml:space="preserve">mitigation system. Line-of-sight mitigation at the speed of </w:t>
      </w:r>
      <w:proofErr w:type="gramStart"/>
      <w:r w:rsidRPr="000D2FF0">
        <w:rPr>
          <w:rFonts w:ascii="Arial" w:eastAsia="Arial" w:hAnsi="Arial" w:cs="Arial"/>
          <w:color w:val="000000"/>
        </w:rPr>
        <w:t>light</w:t>
      </w:r>
      <w:r>
        <w:rPr>
          <w:rFonts w:ascii="Arial" w:eastAsia="Arial" w:hAnsi="Arial" w:cs="Arial"/>
          <w:color w:val="000000"/>
        </w:rPr>
        <w:t>(</w:t>
      </w:r>
      <w:proofErr w:type="gramEnd"/>
      <w:r>
        <w:rPr>
          <w:rFonts w:ascii="Arial" w:eastAsia="Arial" w:hAnsi="Arial" w:cs="Arial"/>
          <w:color w:val="000000"/>
        </w:rPr>
        <w:t>LOSSOL)</w:t>
      </w:r>
      <w:r w:rsidRPr="000D2FF0">
        <w:rPr>
          <w:rFonts w:ascii="Arial" w:eastAsia="Arial" w:hAnsi="Arial" w:cs="Arial"/>
          <w:color w:val="000000"/>
        </w:rPr>
        <w:t xml:space="preserve"> has several advantages over other methods</w:t>
      </w:r>
      <w:r>
        <w:rPr>
          <w:rFonts w:ascii="Arial" w:eastAsia="Arial" w:hAnsi="Arial" w:cs="Arial"/>
          <w:color w:val="000000"/>
        </w:rPr>
        <w:t>.</w:t>
      </w:r>
    </w:p>
    <w:p w14:paraId="11EC2A4F" w14:textId="77777777" w:rsidR="000D2FF0" w:rsidRDefault="000D2FF0" w:rsidP="000D2FF0">
      <w:pPr>
        <w:pBdr>
          <w:top w:val="nil"/>
          <w:left w:val="nil"/>
          <w:bottom w:val="nil"/>
          <w:right w:val="nil"/>
          <w:between w:val="nil"/>
        </w:pBdr>
        <w:jc w:val="both"/>
        <w:rPr>
          <w:rFonts w:ascii="Arial" w:eastAsia="Arial" w:hAnsi="Arial" w:cs="Arial"/>
          <w:color w:val="000000"/>
        </w:rPr>
      </w:pPr>
    </w:p>
    <w:p w14:paraId="5A75B131" w14:textId="06F2BA2F" w:rsidR="000D2FF0" w:rsidRDefault="000D2FF0" w:rsidP="000D2FF0">
      <w:pPr>
        <w:pBdr>
          <w:top w:val="nil"/>
          <w:left w:val="nil"/>
          <w:bottom w:val="nil"/>
          <w:right w:val="nil"/>
          <w:between w:val="nil"/>
        </w:pBdr>
        <w:jc w:val="center"/>
        <w:rPr>
          <w:rFonts w:ascii="Arial" w:eastAsia="Arial" w:hAnsi="Arial" w:cs="Arial"/>
          <w:color w:val="000000"/>
        </w:rPr>
      </w:pPr>
      <w:r>
        <w:rPr>
          <w:rFonts w:ascii="Arial" w:eastAsia="Arial" w:hAnsi="Arial" w:cs="Arial"/>
          <w:noProof/>
          <w:color w:val="000000"/>
        </w:rPr>
        <w:drawing>
          <wp:inline distT="0" distB="0" distL="0" distR="0" wp14:anchorId="28DD5353" wp14:editId="4D882AE2">
            <wp:extent cx="5734050" cy="5688755"/>
            <wp:effectExtent l="0" t="0" r="0" b="7620"/>
            <wp:docPr id="2096483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3545" cy="5747780"/>
                    </a:xfrm>
                    <a:prstGeom prst="rect">
                      <a:avLst/>
                    </a:prstGeom>
                    <a:noFill/>
                  </pic:spPr>
                </pic:pic>
              </a:graphicData>
            </a:graphic>
          </wp:inline>
        </w:drawing>
      </w:r>
    </w:p>
    <w:p w14:paraId="6B79D85E" w14:textId="77777777" w:rsidR="000D2FF0" w:rsidRDefault="000D2FF0" w:rsidP="000D2FF0">
      <w:pPr>
        <w:pBdr>
          <w:top w:val="nil"/>
          <w:left w:val="nil"/>
          <w:bottom w:val="nil"/>
          <w:right w:val="nil"/>
          <w:between w:val="nil"/>
        </w:pBdr>
        <w:jc w:val="both"/>
        <w:rPr>
          <w:rFonts w:ascii="Arial" w:eastAsia="Arial" w:hAnsi="Arial" w:cs="Arial"/>
          <w:color w:val="000000"/>
        </w:rPr>
      </w:pPr>
    </w:p>
    <w:p w14:paraId="0D12E4B3" w14:textId="70213ED5" w:rsidR="000D2FF0" w:rsidRPr="005A1B69" w:rsidRDefault="005A1B69" w:rsidP="000D2FF0">
      <w:pPr>
        <w:pBdr>
          <w:top w:val="nil"/>
          <w:left w:val="nil"/>
          <w:bottom w:val="nil"/>
          <w:right w:val="nil"/>
          <w:between w:val="nil"/>
        </w:pBdr>
        <w:jc w:val="both"/>
        <w:rPr>
          <w:rFonts w:ascii="Arial" w:eastAsia="Arial" w:hAnsi="Arial" w:cs="Arial"/>
          <w:i/>
          <w:iCs/>
          <w:color w:val="000000"/>
        </w:rPr>
      </w:pPr>
      <w:r w:rsidRPr="005A1B69">
        <w:rPr>
          <w:rFonts w:ascii="Arial" w:eastAsia="Arial" w:hAnsi="Arial" w:cs="Arial"/>
          <w:i/>
          <w:iCs/>
          <w:color w:val="000000"/>
        </w:rPr>
        <w:t xml:space="preserve">Figure1. Unlike the Earth, our </w:t>
      </w:r>
      <w:r w:rsidRPr="005A1B69">
        <w:rPr>
          <w:rFonts w:ascii="Arial" w:eastAsia="Arial" w:hAnsi="Arial" w:cs="Arial"/>
          <w:i/>
          <w:iCs/>
          <w:color w:val="000000"/>
        </w:rPr>
        <w:t xml:space="preserve">Moon does not have an atmospheric blanket to protect exposed assets like observatories and habitats on the lunar surface from meteoritic and </w:t>
      </w:r>
      <w:proofErr w:type="spellStart"/>
      <w:r w:rsidRPr="005A1B69">
        <w:rPr>
          <w:rFonts w:ascii="Arial" w:eastAsia="Arial" w:hAnsi="Arial" w:cs="Arial"/>
          <w:i/>
          <w:iCs/>
          <w:color w:val="000000"/>
        </w:rPr>
        <w:t>micrometeoritic</w:t>
      </w:r>
      <w:proofErr w:type="spellEnd"/>
      <w:r w:rsidRPr="005A1B69">
        <w:rPr>
          <w:rFonts w:ascii="Arial" w:eastAsia="Arial" w:hAnsi="Arial" w:cs="Arial"/>
          <w:i/>
          <w:iCs/>
          <w:color w:val="000000"/>
        </w:rPr>
        <w:t xml:space="preserve"> impacts. Recent observations show the effects of constant bombardment on the lunar terrain. Systems commissioned for Planetary Defense on Earth can also be used for protecting high value assets on the surface of the </w:t>
      </w:r>
      <w:proofErr w:type="gramStart"/>
      <w:r w:rsidRPr="005A1B69">
        <w:rPr>
          <w:rFonts w:ascii="Arial" w:eastAsia="Arial" w:hAnsi="Arial" w:cs="Arial"/>
          <w:i/>
          <w:iCs/>
          <w:color w:val="000000"/>
        </w:rPr>
        <w:t>Moon.[</w:t>
      </w:r>
      <w:proofErr w:type="gramEnd"/>
      <w:r w:rsidRPr="005A1B69">
        <w:rPr>
          <w:rFonts w:ascii="Arial" w:eastAsia="Arial" w:hAnsi="Arial" w:cs="Arial"/>
          <w:i/>
          <w:iCs/>
          <w:color w:val="000000"/>
        </w:rPr>
        <w:t>Figure1.]</w:t>
      </w:r>
    </w:p>
    <w:p w14:paraId="2A49445D" w14:textId="77777777" w:rsidR="000D2FF0" w:rsidRPr="000D2FF0" w:rsidRDefault="000D2FF0" w:rsidP="000D2FF0">
      <w:pPr>
        <w:pBdr>
          <w:top w:val="nil"/>
          <w:left w:val="nil"/>
          <w:bottom w:val="nil"/>
          <w:right w:val="nil"/>
          <w:between w:val="nil"/>
        </w:pBdr>
        <w:jc w:val="both"/>
        <w:rPr>
          <w:rFonts w:ascii="Arial" w:eastAsia="Arial" w:hAnsi="Arial" w:cs="Arial"/>
          <w:color w:val="000000"/>
        </w:rPr>
      </w:pPr>
    </w:p>
    <w:p w14:paraId="3FDFF608" w14:textId="12C7D49C" w:rsidR="000D2FF0" w:rsidRPr="000D2FF0" w:rsidRDefault="000D2FF0" w:rsidP="000D2FF0">
      <w:pPr>
        <w:pBdr>
          <w:top w:val="nil"/>
          <w:left w:val="nil"/>
          <w:bottom w:val="nil"/>
          <w:right w:val="nil"/>
          <w:between w:val="nil"/>
        </w:pBdr>
        <w:jc w:val="both"/>
        <w:rPr>
          <w:rFonts w:ascii="Arial" w:eastAsia="Arial" w:hAnsi="Arial" w:cs="Arial"/>
          <w:color w:val="000000"/>
        </w:rPr>
      </w:pPr>
      <w:r w:rsidRPr="005A1B69">
        <w:rPr>
          <w:rFonts w:ascii="Arial" w:eastAsia="Arial" w:hAnsi="Arial" w:cs="Arial"/>
          <w:b/>
          <w:bCs/>
          <w:color w:val="000000"/>
        </w:rPr>
        <w:t>Earth-Moon Applications</w:t>
      </w:r>
      <w:r w:rsidRPr="000D2FF0">
        <w:rPr>
          <w:rFonts w:ascii="Arial" w:eastAsia="Arial" w:hAnsi="Arial" w:cs="Arial"/>
          <w:color w:val="000000"/>
        </w:rPr>
        <w:t xml:space="preserve">: Unlike the Earth, our </w:t>
      </w:r>
      <w:bookmarkStart w:id="1" w:name="_Hlk184920507"/>
      <w:r w:rsidRPr="000D2FF0">
        <w:rPr>
          <w:rFonts w:ascii="Arial" w:eastAsia="Arial" w:hAnsi="Arial" w:cs="Arial"/>
          <w:color w:val="000000"/>
        </w:rPr>
        <w:t xml:space="preserve">Moon does not have an atmospheric blanket to protect exposed assets like observatories and habitats on the lunar surface from meteoritic and </w:t>
      </w:r>
      <w:proofErr w:type="spellStart"/>
      <w:r w:rsidRPr="000D2FF0">
        <w:rPr>
          <w:rFonts w:ascii="Arial" w:eastAsia="Arial" w:hAnsi="Arial" w:cs="Arial"/>
          <w:color w:val="000000"/>
        </w:rPr>
        <w:t>micrometeoritic</w:t>
      </w:r>
      <w:proofErr w:type="spellEnd"/>
      <w:r w:rsidRPr="000D2FF0">
        <w:rPr>
          <w:rFonts w:ascii="Arial" w:eastAsia="Arial" w:hAnsi="Arial" w:cs="Arial"/>
          <w:color w:val="000000"/>
        </w:rPr>
        <w:t xml:space="preserve"> impacts. Recent observations show the effects of constant bombardment on the lunar terrain. Systems commissioned for Planetary Defense on Earth can also be used for protecting high value assets on the surface of the </w:t>
      </w:r>
      <w:proofErr w:type="gramStart"/>
      <w:r w:rsidRPr="000D2FF0">
        <w:rPr>
          <w:rFonts w:ascii="Arial" w:eastAsia="Arial" w:hAnsi="Arial" w:cs="Arial"/>
          <w:color w:val="000000"/>
        </w:rPr>
        <w:t>Moon.</w:t>
      </w:r>
      <w:r w:rsidR="005A1B69">
        <w:rPr>
          <w:rFonts w:ascii="Arial" w:eastAsia="Arial" w:hAnsi="Arial" w:cs="Arial"/>
          <w:color w:val="000000"/>
        </w:rPr>
        <w:t>[</w:t>
      </w:r>
      <w:proofErr w:type="gramEnd"/>
      <w:r w:rsidR="005A1B69">
        <w:rPr>
          <w:rFonts w:ascii="Arial" w:eastAsia="Arial" w:hAnsi="Arial" w:cs="Arial"/>
          <w:color w:val="000000"/>
        </w:rPr>
        <w:t>Figure1.]</w:t>
      </w:r>
      <w:bookmarkEnd w:id="1"/>
    </w:p>
    <w:p w14:paraId="4DD88368" w14:textId="233304D4" w:rsidR="00384BC4" w:rsidRDefault="000D2FF0">
      <w:pPr>
        <w:pBdr>
          <w:top w:val="nil"/>
          <w:left w:val="nil"/>
          <w:bottom w:val="nil"/>
          <w:right w:val="nil"/>
          <w:between w:val="nil"/>
        </w:pBdr>
        <w:jc w:val="both"/>
        <w:rPr>
          <w:rFonts w:ascii="Arial" w:eastAsia="Arial" w:hAnsi="Arial" w:cs="Arial"/>
          <w:color w:val="000000"/>
        </w:rPr>
      </w:pPr>
      <w:r w:rsidRPr="005A1B69">
        <w:rPr>
          <w:rFonts w:ascii="Arial" w:eastAsia="Arial" w:hAnsi="Arial" w:cs="Arial"/>
          <w:b/>
          <w:bCs/>
          <w:color w:val="000000"/>
        </w:rPr>
        <w:t>Conclusion:</w:t>
      </w:r>
      <w:r w:rsidRPr="000D2FF0">
        <w:rPr>
          <w:rFonts w:ascii="Arial" w:eastAsia="Arial" w:hAnsi="Arial" w:cs="Arial"/>
          <w:color w:val="000000"/>
        </w:rPr>
        <w:t xml:space="preserve"> Once a reliable strategy based on directed energy can be evolved incrementally and implemented in a phased manner, systems developed and </w:t>
      </w:r>
      <w:r w:rsidRPr="000D2FF0">
        <w:rPr>
          <w:rFonts w:ascii="Arial" w:eastAsia="Arial" w:hAnsi="Arial" w:cs="Arial"/>
          <w:color w:val="000000"/>
        </w:rPr>
        <w:lastRenderedPageBreak/>
        <w:t>gradually deployed for removing orbital debris on a global scale, barring any mishaps, several associated technologies and operational procedures may be carried over, and mobile, modular systems ramped up in energy and agile deployment techniques adopted to evolve a short warning period planetary defense capability. Trust and Confidence Building Measures attained through gradual implementation via orbital debris mitigation is proposed as a potentially viable evolutionary Planetary Defense concept to investigate further.</w:t>
      </w:r>
    </w:p>
    <w:p w14:paraId="647B1417" w14:textId="5C5D93BB" w:rsidR="000D2FF0" w:rsidRDefault="005A1B6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LOSSOL presentation will focus on current developments in high energy laser technology</w:t>
      </w:r>
      <w:r w:rsidR="004412C7">
        <w:rPr>
          <w:rFonts w:ascii="Arial" w:eastAsia="Arial" w:hAnsi="Arial" w:cs="Arial"/>
          <w:color w:val="000000"/>
        </w:rPr>
        <w:t>, merits and challenges,</w:t>
      </w:r>
      <w:r>
        <w:rPr>
          <w:rFonts w:ascii="Arial" w:eastAsia="Arial" w:hAnsi="Arial" w:cs="Arial"/>
          <w:color w:val="000000"/>
        </w:rPr>
        <w:t xml:space="preserve"> and Planetary</w:t>
      </w:r>
      <w:r w:rsidR="009E2DD8">
        <w:rPr>
          <w:rFonts w:ascii="Arial" w:eastAsia="Arial" w:hAnsi="Arial" w:cs="Arial"/>
          <w:color w:val="000000"/>
        </w:rPr>
        <w:t xml:space="preserve"> Defense</w:t>
      </w:r>
      <w:r>
        <w:rPr>
          <w:rFonts w:ascii="Arial" w:eastAsia="Arial" w:hAnsi="Arial" w:cs="Arial"/>
          <w:color w:val="000000"/>
        </w:rPr>
        <w:t xml:space="preserve"> application of Directed Energy Systems for timely intervention of bolides threat to high value assets on the </w:t>
      </w:r>
      <w:proofErr w:type="gramStart"/>
      <w:r>
        <w:rPr>
          <w:rFonts w:ascii="Arial" w:eastAsia="Arial" w:hAnsi="Arial" w:cs="Arial"/>
          <w:color w:val="000000"/>
        </w:rPr>
        <w:t>Moon  and</w:t>
      </w:r>
      <w:proofErr w:type="gramEnd"/>
      <w:r>
        <w:rPr>
          <w:rFonts w:ascii="Arial" w:eastAsia="Arial" w:hAnsi="Arial" w:cs="Arial"/>
          <w:color w:val="000000"/>
        </w:rPr>
        <w:t xml:space="preserve"> poten</w:t>
      </w:r>
      <w:r w:rsidR="009E2DD8">
        <w:rPr>
          <w:rFonts w:ascii="Arial" w:eastAsia="Arial" w:hAnsi="Arial" w:cs="Arial"/>
          <w:color w:val="000000"/>
        </w:rPr>
        <w:t>t</w:t>
      </w:r>
      <w:r>
        <w:rPr>
          <w:rFonts w:ascii="Arial" w:eastAsia="Arial" w:hAnsi="Arial" w:cs="Arial"/>
          <w:color w:val="000000"/>
        </w:rPr>
        <w:t>i</w:t>
      </w:r>
      <w:r w:rsidR="009E2DD8">
        <w:rPr>
          <w:rFonts w:ascii="Arial" w:eastAsia="Arial" w:hAnsi="Arial" w:cs="Arial"/>
          <w:color w:val="000000"/>
        </w:rPr>
        <w:t>a</w:t>
      </w:r>
      <w:r>
        <w:rPr>
          <w:rFonts w:ascii="Arial" w:eastAsia="Arial" w:hAnsi="Arial" w:cs="Arial"/>
          <w:color w:val="000000"/>
        </w:rPr>
        <w:t>l for Earh applications as well.</w:t>
      </w:r>
    </w:p>
    <w:p w14:paraId="09CD77ED" w14:textId="77777777" w:rsidR="009E2DD8" w:rsidRDefault="009E2DD8">
      <w:pPr>
        <w:pBdr>
          <w:top w:val="nil"/>
          <w:left w:val="nil"/>
          <w:bottom w:val="nil"/>
          <w:right w:val="nil"/>
          <w:between w:val="nil"/>
        </w:pBdr>
        <w:jc w:val="both"/>
        <w:rPr>
          <w:rFonts w:ascii="Arial" w:eastAsia="Arial" w:hAnsi="Arial" w:cs="Arial"/>
          <w:color w:val="000000"/>
        </w:rPr>
      </w:pPr>
    </w:p>
    <w:p w14:paraId="4A344930" w14:textId="5EA115C2" w:rsidR="009E2DD8" w:rsidRDefault="009E2DD8">
      <w:pPr>
        <w:pBdr>
          <w:top w:val="nil"/>
          <w:left w:val="nil"/>
          <w:bottom w:val="nil"/>
          <w:right w:val="nil"/>
          <w:between w:val="nil"/>
        </w:pBdr>
        <w:jc w:val="both"/>
        <w:rPr>
          <w:rFonts w:ascii="Arial" w:eastAsia="Arial" w:hAnsi="Arial" w:cs="Arial"/>
          <w:b/>
          <w:bCs/>
          <w:color w:val="000000"/>
        </w:rPr>
      </w:pPr>
      <w:r w:rsidRPr="009E2DD8">
        <w:rPr>
          <w:rFonts w:ascii="Arial" w:eastAsia="Arial" w:hAnsi="Arial" w:cs="Arial"/>
          <w:b/>
          <w:bCs/>
          <w:color w:val="000000"/>
        </w:rPr>
        <w:t>References</w:t>
      </w:r>
    </w:p>
    <w:p w14:paraId="1CB6B665" w14:textId="430D9032" w:rsidR="009E2DD8" w:rsidRDefault="009E2DD8" w:rsidP="00F4398F">
      <w:pPr>
        <w:pBdr>
          <w:top w:val="nil"/>
          <w:left w:val="nil"/>
          <w:bottom w:val="nil"/>
          <w:right w:val="nil"/>
          <w:between w:val="nil"/>
        </w:pBdr>
        <w:ind w:left="270" w:hanging="270"/>
        <w:jc w:val="both"/>
        <w:rPr>
          <w:rFonts w:ascii="Arial" w:eastAsia="Arial" w:hAnsi="Arial" w:cs="Arial"/>
          <w:color w:val="000000"/>
        </w:rPr>
      </w:pPr>
      <w:r w:rsidRPr="009E2DD8">
        <w:rPr>
          <w:rFonts w:ascii="Arial" w:eastAsia="Arial" w:hAnsi="Arial" w:cs="Arial"/>
          <w:color w:val="000000"/>
        </w:rPr>
        <w:t>Lubin, P., Hughes, G. B., Bible, J. J., Bublitz, J., Arriola, J., Motta, C., ... &amp; O’Neill, H. (2014). Toward directed energy planetary defense. Optical Engineering, 53(2), 025103-025103.</w:t>
      </w:r>
    </w:p>
    <w:p w14:paraId="441AE4CB" w14:textId="7A61AB39" w:rsidR="001B7874" w:rsidRDefault="009E2DD8" w:rsidP="00F4398F">
      <w:pPr>
        <w:pBdr>
          <w:top w:val="nil"/>
          <w:left w:val="nil"/>
          <w:bottom w:val="nil"/>
          <w:right w:val="nil"/>
          <w:between w:val="nil"/>
        </w:pBdr>
        <w:ind w:left="360" w:hanging="360"/>
        <w:jc w:val="both"/>
        <w:rPr>
          <w:rFonts w:ascii="Arial" w:eastAsia="Arial" w:hAnsi="Arial" w:cs="Arial"/>
          <w:color w:val="000000"/>
        </w:rPr>
      </w:pPr>
      <w:r w:rsidRPr="009E2DD8">
        <w:rPr>
          <w:rFonts w:ascii="Arial" w:eastAsia="Arial" w:hAnsi="Arial" w:cs="Arial"/>
          <w:color w:val="000000"/>
        </w:rPr>
        <w:t xml:space="preserve">Lubin, P., &amp; Hughes, G. B. (2015). Directed energy for planetary defense. Chapter in: </w:t>
      </w:r>
      <w:proofErr w:type="spellStart"/>
      <w:r w:rsidRPr="009E2DD8">
        <w:rPr>
          <w:rFonts w:ascii="Arial" w:eastAsia="Arial" w:hAnsi="Arial" w:cs="Arial"/>
          <w:color w:val="000000"/>
        </w:rPr>
        <w:t>Allahdadi</w:t>
      </w:r>
      <w:proofErr w:type="spellEnd"/>
      <w:r w:rsidRPr="009E2DD8">
        <w:rPr>
          <w:rFonts w:ascii="Arial" w:eastAsia="Arial" w:hAnsi="Arial" w:cs="Arial"/>
          <w:color w:val="000000"/>
        </w:rPr>
        <w:t xml:space="preserve">, Firooz, and Pelton, Joseph </w:t>
      </w:r>
      <w:proofErr w:type="gramStart"/>
      <w:r w:rsidRPr="009E2DD8">
        <w:rPr>
          <w:rFonts w:ascii="Arial" w:eastAsia="Arial" w:hAnsi="Arial" w:cs="Arial"/>
          <w:color w:val="000000"/>
        </w:rPr>
        <w:t>N.(</w:t>
      </w:r>
      <w:proofErr w:type="gramEnd"/>
      <w:r w:rsidRPr="009E2DD8">
        <w:rPr>
          <w:rFonts w:ascii="Arial" w:eastAsia="Arial" w:hAnsi="Arial" w:cs="Arial"/>
          <w:color w:val="000000"/>
        </w:rPr>
        <w:t>Eds.), Handbook of Cosmic Hazards and Planetary Defense, Springer Reference.</w:t>
      </w:r>
    </w:p>
    <w:p w14:paraId="6A855171" w14:textId="0FF29A7A" w:rsidR="009E2DD8" w:rsidRDefault="001B7874" w:rsidP="00F4398F">
      <w:pPr>
        <w:pBdr>
          <w:top w:val="nil"/>
          <w:left w:val="nil"/>
          <w:bottom w:val="nil"/>
          <w:right w:val="nil"/>
          <w:between w:val="nil"/>
        </w:pBdr>
        <w:ind w:left="270" w:hanging="270"/>
        <w:jc w:val="both"/>
        <w:rPr>
          <w:rFonts w:ascii="Arial" w:eastAsia="Arial" w:hAnsi="Arial" w:cs="Arial"/>
          <w:color w:val="000000"/>
        </w:rPr>
      </w:pPr>
      <w:r w:rsidRPr="001B7874">
        <w:rPr>
          <w:rFonts w:ascii="Arial" w:eastAsia="Arial" w:hAnsi="Arial" w:cs="Arial"/>
          <w:color w:val="000000"/>
        </w:rPr>
        <w:t xml:space="preserve">Burke, J. D., Hussain, A., Soni, A., Johnson-Freese, J., Faull, J., Schmidt, N., ... &amp; Thangavelu, M. (2015, December). Roadmap for an </w:t>
      </w:r>
      <w:proofErr w:type="spellStart"/>
      <w:r w:rsidRPr="001B7874">
        <w:rPr>
          <w:rFonts w:ascii="Arial" w:eastAsia="Arial" w:hAnsi="Arial" w:cs="Arial"/>
          <w:color w:val="000000"/>
        </w:rPr>
        <w:t>EArth</w:t>
      </w:r>
      <w:proofErr w:type="spellEnd"/>
      <w:r w:rsidRPr="001B7874">
        <w:rPr>
          <w:rFonts w:ascii="Arial" w:eastAsia="Arial" w:hAnsi="Arial" w:cs="Arial"/>
          <w:color w:val="000000"/>
        </w:rPr>
        <w:t xml:space="preserve"> Defense Initiative (READI). In AGU Fall Meeting Abstracts (Vol. 2015, pp. NH11A-1901).</w:t>
      </w:r>
    </w:p>
    <w:p w14:paraId="69880F48" w14:textId="691CFC08" w:rsidR="001B7874" w:rsidRDefault="009E2DD8" w:rsidP="00F4398F">
      <w:pPr>
        <w:pBdr>
          <w:top w:val="nil"/>
          <w:left w:val="nil"/>
          <w:bottom w:val="nil"/>
          <w:right w:val="nil"/>
          <w:between w:val="nil"/>
        </w:pBdr>
        <w:ind w:left="270" w:hanging="270"/>
        <w:jc w:val="both"/>
        <w:rPr>
          <w:rFonts w:ascii="Arial" w:eastAsia="Arial" w:hAnsi="Arial" w:cs="Arial"/>
          <w:color w:val="000000"/>
        </w:rPr>
      </w:pPr>
      <w:r w:rsidRPr="009E2DD8">
        <w:rPr>
          <w:rFonts w:ascii="Arial" w:eastAsia="Arial" w:hAnsi="Arial" w:cs="Arial"/>
          <w:color w:val="000000"/>
        </w:rPr>
        <w:t xml:space="preserve">Hussein, A., </w:t>
      </w:r>
      <w:proofErr w:type="spellStart"/>
      <w:r w:rsidRPr="009E2DD8">
        <w:rPr>
          <w:rFonts w:ascii="Arial" w:eastAsia="Arial" w:hAnsi="Arial" w:cs="Arial"/>
          <w:color w:val="000000"/>
        </w:rPr>
        <w:t>Rozenheck</w:t>
      </w:r>
      <w:proofErr w:type="spellEnd"/>
      <w:r w:rsidRPr="009E2DD8">
        <w:rPr>
          <w:rFonts w:ascii="Arial" w:eastAsia="Arial" w:hAnsi="Arial" w:cs="Arial"/>
          <w:color w:val="000000"/>
        </w:rPr>
        <w:t xml:space="preserve">, O., &amp; Utrilla, C. M. E. (2016). From detection to deflection: Mitigation techniques for hidden global threats of natural space objects with short warning time. Acta </w:t>
      </w:r>
      <w:proofErr w:type="spellStart"/>
      <w:r w:rsidRPr="009E2DD8">
        <w:rPr>
          <w:rFonts w:ascii="Arial" w:eastAsia="Arial" w:hAnsi="Arial" w:cs="Arial"/>
          <w:color w:val="000000"/>
        </w:rPr>
        <w:t>Astronautica</w:t>
      </w:r>
      <w:proofErr w:type="spellEnd"/>
      <w:r w:rsidRPr="009E2DD8">
        <w:rPr>
          <w:rFonts w:ascii="Arial" w:eastAsia="Arial" w:hAnsi="Arial" w:cs="Arial"/>
          <w:color w:val="000000"/>
        </w:rPr>
        <w:t>, 126, 488-496.</w:t>
      </w:r>
    </w:p>
    <w:p w14:paraId="6233A1E4" w14:textId="47146EE5" w:rsidR="00B34DA8" w:rsidRDefault="00B34DA8" w:rsidP="00F4398F">
      <w:pPr>
        <w:pBdr>
          <w:top w:val="nil"/>
          <w:left w:val="nil"/>
          <w:bottom w:val="nil"/>
          <w:right w:val="nil"/>
          <w:between w:val="nil"/>
        </w:pBdr>
        <w:ind w:left="270" w:hanging="270"/>
        <w:jc w:val="both"/>
        <w:rPr>
          <w:rFonts w:ascii="Arial" w:eastAsia="Arial" w:hAnsi="Arial" w:cs="Arial"/>
          <w:color w:val="000000"/>
        </w:rPr>
      </w:pPr>
      <w:r w:rsidRPr="00B34DA8">
        <w:rPr>
          <w:rFonts w:ascii="Arial" w:eastAsia="Arial" w:hAnsi="Arial" w:cs="Arial"/>
          <w:color w:val="000000"/>
        </w:rPr>
        <w:t xml:space="preserve">Melamed, N. (2013). Development of a handbook and an on-line tool on defending Earth against Potentially Hazardous Objects. Acta </w:t>
      </w:r>
      <w:proofErr w:type="spellStart"/>
      <w:r w:rsidRPr="00B34DA8">
        <w:rPr>
          <w:rFonts w:ascii="Arial" w:eastAsia="Arial" w:hAnsi="Arial" w:cs="Arial"/>
          <w:color w:val="000000"/>
        </w:rPr>
        <w:t>Astronautica</w:t>
      </w:r>
      <w:proofErr w:type="spellEnd"/>
      <w:r w:rsidRPr="00B34DA8">
        <w:rPr>
          <w:rFonts w:ascii="Arial" w:eastAsia="Arial" w:hAnsi="Arial" w:cs="Arial"/>
          <w:color w:val="000000"/>
        </w:rPr>
        <w:t>, 90(1), 165-172.</w:t>
      </w:r>
    </w:p>
    <w:p w14:paraId="5A1DBCE5" w14:textId="17FDA436" w:rsidR="001B7874" w:rsidRDefault="00BD0E4C" w:rsidP="00F4398F">
      <w:pPr>
        <w:pBdr>
          <w:top w:val="nil"/>
          <w:left w:val="nil"/>
          <w:bottom w:val="nil"/>
          <w:right w:val="nil"/>
          <w:between w:val="nil"/>
        </w:pBdr>
        <w:ind w:left="360" w:hanging="360"/>
        <w:jc w:val="both"/>
        <w:rPr>
          <w:rFonts w:ascii="Arial" w:eastAsia="Arial" w:hAnsi="Arial" w:cs="Arial"/>
          <w:color w:val="000000"/>
        </w:rPr>
      </w:pPr>
      <w:r w:rsidRPr="001B7874">
        <w:rPr>
          <w:rFonts w:ascii="Arial" w:eastAsia="Arial" w:hAnsi="Arial" w:cs="Arial"/>
          <w:color w:val="000000"/>
        </w:rPr>
        <w:t xml:space="preserve">"Nikola Schmidt, James Burke, Nahum Melamed, Madhu Thangavelu, Tomas </w:t>
      </w:r>
      <w:proofErr w:type="spellStart"/>
      <w:r w:rsidRPr="001B7874">
        <w:rPr>
          <w:rFonts w:ascii="Arial" w:eastAsia="Arial" w:hAnsi="Arial" w:cs="Arial"/>
          <w:color w:val="000000"/>
        </w:rPr>
        <w:t>Rousek</w:t>
      </w:r>
      <w:proofErr w:type="spellEnd"/>
      <w:r w:rsidRPr="001B7874">
        <w:rPr>
          <w:rFonts w:ascii="Arial" w:eastAsia="Arial" w:hAnsi="Arial" w:cs="Arial"/>
          <w:color w:val="000000"/>
        </w:rPr>
        <w:t>."(2016</w:t>
      </w:r>
      <w:proofErr w:type="gramStart"/>
      <w:r w:rsidRPr="001B7874">
        <w:rPr>
          <w:rFonts w:ascii="Arial" w:eastAsia="Arial" w:hAnsi="Arial" w:cs="Arial"/>
          <w:color w:val="000000"/>
        </w:rPr>
        <w:t>).</w:t>
      </w:r>
      <w:r w:rsidRPr="00BD0E4C">
        <w:rPr>
          <w:rFonts w:ascii="Arial" w:eastAsia="Arial" w:hAnsi="Arial" w:cs="Arial"/>
          <w:color w:val="000000"/>
        </w:rPr>
        <w:t>Extending</w:t>
      </w:r>
      <w:proofErr w:type="gramEnd"/>
      <w:r w:rsidRPr="00BD0E4C">
        <w:rPr>
          <w:rFonts w:ascii="Arial" w:eastAsia="Arial" w:hAnsi="Arial" w:cs="Arial"/>
          <w:color w:val="000000"/>
        </w:rPr>
        <w:t xml:space="preserve"> Space Exploration By Evolving an Earth-Moon Planetary Defense Capability</w:t>
      </w:r>
      <w:r>
        <w:rPr>
          <w:rFonts w:ascii="Arial" w:eastAsia="Arial" w:hAnsi="Arial" w:cs="Arial"/>
          <w:color w:val="000000"/>
        </w:rPr>
        <w:t>(2016)</w:t>
      </w:r>
      <w:r w:rsidRPr="00BD0E4C">
        <w:rPr>
          <w:rFonts w:ascii="Arial" w:eastAsia="Arial" w:hAnsi="Arial" w:cs="Arial"/>
          <w:color w:val="000000"/>
        </w:rPr>
        <w:t>IAC-16,D3,1,2,x33552</w:t>
      </w:r>
      <w:r w:rsidR="001B7874" w:rsidRPr="001B7874">
        <w:rPr>
          <w:rFonts w:ascii="Arial" w:eastAsia="Arial" w:hAnsi="Arial" w:cs="Arial"/>
          <w:color w:val="000000"/>
        </w:rPr>
        <w:t xml:space="preserve"> </w:t>
      </w:r>
      <w:r>
        <w:rPr>
          <w:rFonts w:ascii="Arial" w:eastAsia="Arial" w:hAnsi="Arial" w:cs="Arial"/>
          <w:color w:val="000000"/>
        </w:rPr>
        <w:t>International Astronautical Congress</w:t>
      </w:r>
    </w:p>
    <w:p w14:paraId="1CC165EF" w14:textId="78917545" w:rsidR="001B7874" w:rsidRDefault="001B7874" w:rsidP="00F4398F">
      <w:pPr>
        <w:pBdr>
          <w:top w:val="nil"/>
          <w:left w:val="nil"/>
          <w:bottom w:val="nil"/>
          <w:right w:val="nil"/>
          <w:between w:val="nil"/>
        </w:pBdr>
        <w:ind w:left="360" w:hanging="270"/>
        <w:jc w:val="both"/>
        <w:rPr>
          <w:rFonts w:ascii="Arial" w:eastAsia="Arial" w:hAnsi="Arial" w:cs="Arial"/>
          <w:color w:val="000000"/>
        </w:rPr>
      </w:pPr>
      <w:r w:rsidRPr="001B7874">
        <w:rPr>
          <w:rFonts w:ascii="Arial" w:eastAsia="Arial" w:hAnsi="Arial" w:cs="Arial"/>
          <w:color w:val="000000"/>
        </w:rPr>
        <w:t xml:space="preserve">Thangavelu, M., &amp; </w:t>
      </w:r>
      <w:proofErr w:type="spellStart"/>
      <w:r w:rsidRPr="001B7874">
        <w:rPr>
          <w:rFonts w:ascii="Arial" w:eastAsia="Arial" w:hAnsi="Arial" w:cs="Arial"/>
          <w:color w:val="000000"/>
        </w:rPr>
        <w:t>Vasmate</w:t>
      </w:r>
      <w:proofErr w:type="spellEnd"/>
      <w:r w:rsidRPr="001B7874">
        <w:rPr>
          <w:rFonts w:ascii="Arial" w:eastAsia="Arial" w:hAnsi="Arial" w:cs="Arial"/>
          <w:color w:val="000000"/>
        </w:rPr>
        <w:t>, V. (2016). LUNAR SENTINEL: Planetary Defense from the Moon. In </w:t>
      </w:r>
      <w:r w:rsidRPr="001B7874">
        <w:rPr>
          <w:rFonts w:ascii="Arial" w:eastAsia="Arial" w:hAnsi="Arial" w:cs="Arial"/>
          <w:i/>
          <w:iCs/>
          <w:color w:val="000000"/>
        </w:rPr>
        <w:t>AIAA SPACE 2016</w:t>
      </w:r>
      <w:r w:rsidRPr="001B7874">
        <w:rPr>
          <w:rFonts w:ascii="Arial" w:eastAsia="Arial" w:hAnsi="Arial" w:cs="Arial"/>
          <w:color w:val="000000"/>
        </w:rPr>
        <w:t> (p. 5475).</w:t>
      </w:r>
    </w:p>
    <w:p w14:paraId="69923BF3" w14:textId="7F4CC71B" w:rsidR="001B7874" w:rsidRDefault="001B7874" w:rsidP="00F4398F">
      <w:pPr>
        <w:pBdr>
          <w:top w:val="nil"/>
          <w:left w:val="nil"/>
          <w:bottom w:val="nil"/>
          <w:right w:val="nil"/>
          <w:between w:val="nil"/>
        </w:pBdr>
        <w:ind w:left="360" w:hanging="360"/>
        <w:jc w:val="both"/>
        <w:rPr>
          <w:rFonts w:ascii="Arial" w:eastAsia="Arial" w:hAnsi="Arial" w:cs="Arial"/>
          <w:color w:val="000000"/>
        </w:rPr>
      </w:pPr>
      <w:r w:rsidRPr="001B7874">
        <w:rPr>
          <w:rFonts w:ascii="Arial" w:eastAsia="Arial" w:hAnsi="Arial" w:cs="Arial"/>
          <w:color w:val="000000"/>
        </w:rPr>
        <w:t>Schmidt, N., &amp; Thangavelu, M. (2017). Strengthening global collaboration and reducing the risk of defection of a cooperating nation in planetary defense. In 5th IAA Planetary Defense Conference—PDC 2017. Tokyo, Japan: International Academy of Astronautics.</w:t>
      </w:r>
    </w:p>
    <w:p w14:paraId="6E559921" w14:textId="3F7F5E81" w:rsidR="000D2FF0" w:rsidRDefault="001B7874" w:rsidP="00F4398F">
      <w:pPr>
        <w:pBdr>
          <w:top w:val="nil"/>
          <w:left w:val="nil"/>
          <w:bottom w:val="nil"/>
          <w:right w:val="nil"/>
          <w:between w:val="nil"/>
        </w:pBdr>
        <w:ind w:left="450" w:hanging="450"/>
        <w:jc w:val="both"/>
        <w:rPr>
          <w:rFonts w:ascii="Arial" w:eastAsia="Arial" w:hAnsi="Arial" w:cs="Arial"/>
          <w:color w:val="000000"/>
        </w:rPr>
      </w:pPr>
      <w:r w:rsidRPr="001B7874">
        <w:rPr>
          <w:rFonts w:ascii="Arial" w:eastAsia="Arial" w:hAnsi="Arial" w:cs="Arial"/>
          <w:color w:val="000000"/>
        </w:rPr>
        <w:t>Schmidt, N. (Ed.). (2018). Planetary defense: Global collaboration for defending earth from asteroids and comets. Springer.</w:t>
      </w:r>
    </w:p>
    <w:p w14:paraId="0BC95D78" w14:textId="145952E8" w:rsidR="001B7874" w:rsidRDefault="009E2DD8" w:rsidP="00F4398F">
      <w:pPr>
        <w:pBdr>
          <w:top w:val="nil"/>
          <w:left w:val="nil"/>
          <w:bottom w:val="nil"/>
          <w:right w:val="nil"/>
          <w:between w:val="nil"/>
        </w:pBdr>
        <w:ind w:left="360" w:hanging="360"/>
        <w:jc w:val="both"/>
        <w:rPr>
          <w:rFonts w:ascii="Arial" w:eastAsia="Arial" w:hAnsi="Arial" w:cs="Arial"/>
          <w:color w:val="000000"/>
        </w:rPr>
      </w:pPr>
      <w:r w:rsidRPr="009E2DD8">
        <w:rPr>
          <w:rFonts w:ascii="Arial" w:eastAsia="Arial" w:hAnsi="Arial" w:cs="Arial"/>
          <w:color w:val="000000"/>
        </w:rPr>
        <w:t xml:space="preserve">Schmidt, N., Utrilla, C. M. E., </w:t>
      </w:r>
      <w:proofErr w:type="spellStart"/>
      <w:r w:rsidRPr="009E2DD8">
        <w:rPr>
          <w:rFonts w:ascii="Arial" w:eastAsia="Arial" w:hAnsi="Arial" w:cs="Arial"/>
          <w:color w:val="000000"/>
        </w:rPr>
        <w:t>Boháček</w:t>
      </w:r>
      <w:proofErr w:type="spellEnd"/>
      <w:r w:rsidRPr="009E2DD8">
        <w:rPr>
          <w:rFonts w:ascii="Arial" w:eastAsia="Arial" w:hAnsi="Arial" w:cs="Arial"/>
          <w:color w:val="000000"/>
        </w:rPr>
        <w:t>, P., Silva-Martinez, J., &amp; Worden, P. (2019). The Multipurpose Lunar Base as a First-Line Biosphere Defense and as a Gateway to the Universe. </w:t>
      </w:r>
      <w:r w:rsidRPr="009E2DD8">
        <w:rPr>
          <w:rFonts w:ascii="Arial" w:eastAsia="Arial" w:hAnsi="Arial" w:cs="Arial"/>
          <w:i/>
          <w:iCs/>
          <w:color w:val="000000"/>
        </w:rPr>
        <w:t>Planetary Defense: Global Collaboration for Defending Earth from Asteroids and Comets</w:t>
      </w:r>
      <w:r w:rsidRPr="009E2DD8">
        <w:rPr>
          <w:rFonts w:ascii="Arial" w:eastAsia="Arial" w:hAnsi="Arial" w:cs="Arial"/>
          <w:color w:val="000000"/>
        </w:rPr>
        <w:t>, 419-452.</w:t>
      </w:r>
    </w:p>
    <w:p w14:paraId="0254B88F" w14:textId="41CE522B" w:rsidR="009E2DD8" w:rsidRDefault="001B7874" w:rsidP="00F4398F">
      <w:pPr>
        <w:pBdr>
          <w:top w:val="nil"/>
          <w:left w:val="nil"/>
          <w:bottom w:val="nil"/>
          <w:right w:val="nil"/>
          <w:between w:val="nil"/>
        </w:pBdr>
        <w:ind w:left="450" w:hanging="450"/>
        <w:jc w:val="both"/>
        <w:rPr>
          <w:rFonts w:ascii="Arial" w:eastAsia="Arial" w:hAnsi="Arial" w:cs="Arial"/>
          <w:color w:val="000000"/>
        </w:rPr>
      </w:pPr>
      <w:r w:rsidRPr="001B7874">
        <w:rPr>
          <w:rFonts w:ascii="Arial" w:eastAsia="Arial" w:hAnsi="Arial" w:cs="Arial"/>
          <w:color w:val="000000"/>
        </w:rPr>
        <w:t xml:space="preserve">Thangavelu, M. (2021). JEDI: The Joint Extraterrestrial Threats Defense Infrastructure-Evolving </w:t>
      </w:r>
      <w:proofErr w:type="gramStart"/>
      <w:r w:rsidRPr="001B7874">
        <w:rPr>
          <w:rFonts w:ascii="Arial" w:eastAsia="Arial" w:hAnsi="Arial" w:cs="Arial"/>
          <w:color w:val="000000"/>
        </w:rPr>
        <w:t>An</w:t>
      </w:r>
      <w:proofErr w:type="gramEnd"/>
      <w:r w:rsidRPr="001B7874">
        <w:rPr>
          <w:rFonts w:ascii="Arial" w:eastAsia="Arial" w:hAnsi="Arial" w:cs="Arial"/>
          <w:color w:val="000000"/>
        </w:rPr>
        <w:t xml:space="preserve"> Earth-Moon Planetary Defense Infrastructure. In ASCEND 2021 (p. 4112).</w:t>
      </w:r>
    </w:p>
    <w:p w14:paraId="1D2CF9ED" w14:textId="76A2CD0B" w:rsidR="001B7874" w:rsidRDefault="001B7874" w:rsidP="004412C7">
      <w:pPr>
        <w:pBdr>
          <w:top w:val="nil"/>
          <w:left w:val="nil"/>
          <w:bottom w:val="nil"/>
          <w:right w:val="nil"/>
          <w:between w:val="nil"/>
        </w:pBdr>
        <w:ind w:left="450" w:hanging="450"/>
        <w:jc w:val="both"/>
        <w:rPr>
          <w:rFonts w:ascii="Arial" w:eastAsia="Arial" w:hAnsi="Arial" w:cs="Arial"/>
          <w:color w:val="000000"/>
        </w:rPr>
      </w:pPr>
      <w:r w:rsidRPr="001B7874">
        <w:rPr>
          <w:rFonts w:ascii="Arial" w:eastAsia="Arial" w:hAnsi="Arial" w:cs="Arial"/>
          <w:color w:val="000000"/>
        </w:rPr>
        <w:t xml:space="preserve">Thangavelu, Madhu. "USC CHASE II-Commercial Human Spaceflight Expeditions Part </w:t>
      </w:r>
      <w:proofErr w:type="spellStart"/>
      <w:r w:rsidRPr="001B7874">
        <w:rPr>
          <w:rFonts w:ascii="Arial" w:eastAsia="Arial" w:hAnsi="Arial" w:cs="Arial"/>
          <w:color w:val="000000"/>
        </w:rPr>
        <w:t>ll</w:t>
      </w:r>
      <w:proofErr w:type="spellEnd"/>
      <w:r w:rsidRPr="001B7874">
        <w:rPr>
          <w:rFonts w:ascii="Arial" w:eastAsia="Arial" w:hAnsi="Arial" w:cs="Arial"/>
          <w:color w:val="000000"/>
        </w:rPr>
        <w:t>–Artemis Rising." In ASCEND 2023, p. 4608. 2023</w:t>
      </w:r>
    </w:p>
    <w:p w14:paraId="00000034" w14:textId="77777777" w:rsidR="0080494F" w:rsidRDefault="0080494F">
      <w:pPr>
        <w:pBdr>
          <w:top w:val="nil"/>
          <w:left w:val="nil"/>
          <w:bottom w:val="nil"/>
          <w:right w:val="nil"/>
          <w:between w:val="nil"/>
        </w:pBdr>
        <w:jc w:val="both"/>
        <w:rPr>
          <w:rFonts w:ascii="Arial" w:eastAsia="Arial" w:hAnsi="Arial" w:cs="Arial"/>
          <w:color w:val="000000"/>
        </w:rPr>
      </w:pPr>
    </w:p>
    <w:p w14:paraId="00000035" w14:textId="77777777" w:rsidR="0080494F" w:rsidRPr="009E2DD8" w:rsidRDefault="00000000">
      <w:pPr>
        <w:pBdr>
          <w:top w:val="nil"/>
          <w:left w:val="nil"/>
          <w:bottom w:val="nil"/>
          <w:right w:val="nil"/>
          <w:between w:val="nil"/>
        </w:pBdr>
        <w:jc w:val="both"/>
        <w:rPr>
          <w:rFonts w:ascii="Arial" w:eastAsia="Arial" w:hAnsi="Arial" w:cs="Arial"/>
          <w:b/>
          <w:iCs/>
          <w:color w:val="000000"/>
        </w:rPr>
      </w:pPr>
      <w:r w:rsidRPr="009E2DD8">
        <w:rPr>
          <w:rFonts w:ascii="Arial" w:eastAsia="Arial" w:hAnsi="Arial" w:cs="Arial"/>
          <w:b/>
          <w:iCs/>
          <w:color w:val="000000"/>
        </w:rPr>
        <w:t>Comments:</w:t>
      </w:r>
    </w:p>
    <w:p w14:paraId="0ED27365" w14:textId="609A4BF8" w:rsidR="00BD0E4C" w:rsidRDefault="009E2DD8">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Please include me in </w:t>
      </w:r>
      <w:r w:rsidR="00A670D4">
        <w:rPr>
          <w:rFonts w:ascii="Arial" w:eastAsia="Arial" w:hAnsi="Arial" w:cs="Arial"/>
          <w:i/>
          <w:color w:val="000000"/>
        </w:rPr>
        <w:t xml:space="preserve">an </w:t>
      </w:r>
      <w:r>
        <w:rPr>
          <w:rFonts w:ascii="Arial" w:eastAsia="Arial" w:hAnsi="Arial" w:cs="Arial"/>
          <w:i/>
          <w:color w:val="000000"/>
        </w:rPr>
        <w:t>appropriate session, afternoon oral presentation preferred.</w:t>
      </w:r>
    </w:p>
    <w:sectPr w:rsidR="00BD0E4C" w:rsidSect="00496C66">
      <w:footerReference w:type="default" r:id="rId10"/>
      <w:pgSz w:w="11907" w:h="16840"/>
      <w:pgMar w:top="1260" w:right="1440" w:bottom="12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103816" w14:textId="77777777" w:rsidR="003109E9" w:rsidRDefault="003109E9">
      <w:r>
        <w:separator/>
      </w:r>
    </w:p>
  </w:endnote>
  <w:endnote w:type="continuationSeparator" w:id="0">
    <w:p w14:paraId="2E7A2A22" w14:textId="77777777" w:rsidR="003109E9" w:rsidRDefault="00310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17F4677-88C3-4FB9-9A33-C0C1667EED67}"/>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E8E054E-9065-4DE3-A0E1-F4096E1A3132}"/>
    <w:embedBold r:id="rId3" w:fontKey="{ED115F1C-79F3-4047-A115-93250D0F1D1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0A03106-AE0E-4837-81E0-42CBA127D7B2}"/>
    <w:embedItalic r:id="rId5" w:fontKey="{AEC20088-38E8-4619-AD5A-E3D2E290A13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65D4BFAF-E9DA-4BD9-A7E8-D98A2FDA41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8" w14:textId="228A66BE" w:rsidR="0080494F" w:rsidRDefault="00000000">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84513C">
      <w:rPr>
        <w:rFonts w:ascii="Arial" w:eastAsia="Arial" w:hAnsi="Arial" w:cs="Arial"/>
        <w:noProof/>
        <w:color w:val="000000"/>
      </w:rPr>
      <w:t>1</w:t>
    </w:r>
    <w:r>
      <w:rPr>
        <w:rFonts w:ascii="Arial" w:eastAsia="Arial" w:hAnsi="Arial" w:cs="Arial"/>
        <w:color w:val="000000"/>
      </w:rPr>
      <w:fldChar w:fldCharType="end"/>
    </w:r>
  </w:p>
  <w:p w14:paraId="00000039" w14:textId="77777777" w:rsidR="0080494F" w:rsidRDefault="0080494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C9630B" w14:textId="77777777" w:rsidR="003109E9" w:rsidRDefault="003109E9">
      <w:r>
        <w:separator/>
      </w:r>
    </w:p>
  </w:footnote>
  <w:footnote w:type="continuationSeparator" w:id="0">
    <w:p w14:paraId="334D2F41" w14:textId="77777777" w:rsidR="003109E9" w:rsidRDefault="003109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74049D"/>
    <w:multiLevelType w:val="multilevel"/>
    <w:tmpl w:val="54105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05494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94F"/>
    <w:rsid w:val="000D2FF0"/>
    <w:rsid w:val="001B7874"/>
    <w:rsid w:val="002A4385"/>
    <w:rsid w:val="003109E9"/>
    <w:rsid w:val="00384BC4"/>
    <w:rsid w:val="004412C7"/>
    <w:rsid w:val="00476C5C"/>
    <w:rsid w:val="00496C66"/>
    <w:rsid w:val="005A1B69"/>
    <w:rsid w:val="0080494F"/>
    <w:rsid w:val="0084513C"/>
    <w:rsid w:val="00887836"/>
    <w:rsid w:val="009E2DD8"/>
    <w:rsid w:val="00A670D4"/>
    <w:rsid w:val="00B34DA8"/>
    <w:rsid w:val="00BD0E4C"/>
    <w:rsid w:val="00F43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22B09"/>
  <w15:docId w15:val="{41424B33-A3A2-4E5F-A458-3634790C6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outlineLvl w:val="4"/>
    </w:pPr>
    <w:rPr>
      <w:rFonts w:ascii="Times New Roman" w:eastAsia="Times New Roman" w:hAnsi="Times New Roman" w:cs="Times New Roman"/>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iaaspace.org/pd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5D1E5-088B-4042-844B-BAC66F9C4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1308</Words>
  <Characters>7461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Madhu</dc:creator>
  <cp:lastModifiedBy>Madhu Thangavelu</cp:lastModifiedBy>
  <cp:revision>3</cp:revision>
  <dcterms:created xsi:type="dcterms:W3CDTF">2024-12-13T06:25:00Z</dcterms:created>
  <dcterms:modified xsi:type="dcterms:W3CDTF">2024-12-13T06:26:00Z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2022-10-06T07:20:59Z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d8dfa894-9e05-41f7-b6b2-2c98086eec37</vt:lpwstr>
  </property>
  <property fmtid="{D5CDD505-2E9C-101B-9397-08002B2CF9AE}" pid="8" name="MSIP_Label_3976fa30-1907-4356-8241-62ea5e1c0256_ContentBits">
    <vt:lpwstr>0</vt:lpwstr>
  </property>
</Properties>
</file>