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1087" w14:textId="77777777" w:rsidR="00AA2509" w:rsidRPr="00AA2509" w:rsidRDefault="00AA2509" w:rsidP="00AA2509">
      <w:pPr>
        <w:autoSpaceDE w:val="0"/>
        <w:autoSpaceDN w:val="0"/>
        <w:adjustRightInd w:val="0"/>
        <w:rPr>
          <w:rFonts w:ascii="Arial" w:hAnsi="Arial" w:cs="Arial"/>
          <w:b/>
          <w:bCs/>
        </w:rPr>
      </w:pPr>
      <w:r>
        <w:rPr>
          <w:rFonts w:ascii="Arial" w:hAnsi="Arial" w:cs="Arial"/>
          <w:b/>
          <w:bCs/>
          <w:lang w:val="en-US"/>
        </w:rPr>
        <w:t xml:space="preserve">TOPIC: </w:t>
      </w:r>
      <w:proofErr w:type="spellStart"/>
      <w:r>
        <w:rPr>
          <w:rFonts w:ascii="Arial" w:hAnsi="Arial" w:cs="Arial"/>
          <w:b/>
          <w:bCs/>
        </w:rPr>
        <w:t>The</w:t>
      </w:r>
      <w:proofErr w:type="spellEnd"/>
      <w:r>
        <w:rPr>
          <w:rFonts w:ascii="Arial" w:hAnsi="Arial" w:cs="Arial"/>
          <w:b/>
          <w:bCs/>
        </w:rPr>
        <w:t xml:space="preserve"> </w:t>
      </w:r>
      <w:proofErr w:type="spellStart"/>
      <w:r>
        <w:rPr>
          <w:rFonts w:ascii="Arial" w:hAnsi="Arial" w:cs="Arial"/>
          <w:b/>
          <w:bCs/>
        </w:rPr>
        <w:t>Decision</w:t>
      </w:r>
      <w:proofErr w:type="spellEnd"/>
      <w:r>
        <w:rPr>
          <w:rFonts w:ascii="Arial" w:hAnsi="Arial" w:cs="Arial"/>
          <w:b/>
          <w:bCs/>
        </w:rPr>
        <w:t xml:space="preserve"> to </w:t>
      </w:r>
      <w:proofErr w:type="spellStart"/>
      <w:r>
        <w:rPr>
          <w:rFonts w:ascii="Arial" w:hAnsi="Arial" w:cs="Arial"/>
          <w:b/>
          <w:bCs/>
        </w:rPr>
        <w:t>Act</w:t>
      </w:r>
      <w:proofErr w:type="spellEnd"/>
      <w:r>
        <w:rPr>
          <w:rFonts w:ascii="Arial" w:hAnsi="Arial" w:cs="Arial"/>
          <w:b/>
          <w:bCs/>
        </w:rPr>
        <w:t xml:space="preserve">: </w:t>
      </w:r>
      <w:proofErr w:type="spellStart"/>
      <w:r>
        <w:rPr>
          <w:rFonts w:ascii="Arial" w:hAnsi="Arial" w:cs="Arial"/>
          <w:b/>
          <w:bCs/>
        </w:rPr>
        <w:t>Political</w:t>
      </w:r>
      <w:proofErr w:type="spellEnd"/>
      <w:r>
        <w:rPr>
          <w:rFonts w:ascii="Arial" w:hAnsi="Arial" w:cs="Arial"/>
          <w:b/>
          <w:bCs/>
        </w:rPr>
        <w:t xml:space="preserve">, </w:t>
      </w:r>
      <w:proofErr w:type="spellStart"/>
      <w:r>
        <w:rPr>
          <w:rFonts w:ascii="Arial" w:hAnsi="Arial" w:cs="Arial"/>
          <w:b/>
          <w:bCs/>
        </w:rPr>
        <w:t>Legal</w:t>
      </w:r>
      <w:proofErr w:type="spellEnd"/>
      <w:r>
        <w:rPr>
          <w:rFonts w:ascii="Arial" w:hAnsi="Arial" w:cs="Arial"/>
          <w:b/>
          <w:bCs/>
        </w:rPr>
        <w:t xml:space="preserve">, </w:t>
      </w:r>
      <w:proofErr w:type="spellStart"/>
      <w:r>
        <w:rPr>
          <w:rFonts w:ascii="Arial" w:hAnsi="Arial" w:cs="Arial"/>
          <w:b/>
          <w:bCs/>
        </w:rPr>
        <w:t>Social</w:t>
      </w:r>
      <w:proofErr w:type="spellEnd"/>
      <w:r>
        <w:rPr>
          <w:rFonts w:ascii="Arial" w:hAnsi="Arial" w:cs="Arial"/>
          <w:b/>
          <w:bCs/>
        </w:rPr>
        <w:t xml:space="preserve">, and </w:t>
      </w:r>
      <w:proofErr w:type="spellStart"/>
      <w:r>
        <w:rPr>
          <w:rFonts w:ascii="Arial" w:hAnsi="Arial" w:cs="Arial"/>
          <w:b/>
          <w:bCs/>
        </w:rPr>
        <w:t>Economic</w:t>
      </w:r>
      <w:proofErr w:type="spellEnd"/>
      <w:r>
        <w:rPr>
          <w:rFonts w:ascii="Arial" w:hAnsi="Arial" w:cs="Arial"/>
          <w:b/>
          <w:bCs/>
        </w:rPr>
        <w:t xml:space="preserve"> </w:t>
      </w:r>
      <w:proofErr w:type="spellStart"/>
      <w:r>
        <w:rPr>
          <w:rFonts w:ascii="Arial" w:hAnsi="Arial" w:cs="Arial"/>
          <w:b/>
          <w:bCs/>
        </w:rPr>
        <w:t>Aspects</w:t>
      </w:r>
      <w:proofErr w:type="spellEnd"/>
    </w:p>
    <w:p w14:paraId="604DB09F" w14:textId="77777777" w:rsidR="00AA2509" w:rsidRDefault="00AA2509" w:rsidP="008941CF">
      <w:pPr>
        <w:autoSpaceDE w:val="0"/>
        <w:autoSpaceDN w:val="0"/>
        <w:adjustRightInd w:val="0"/>
        <w:spacing w:after="0" w:line="240" w:lineRule="auto"/>
        <w:ind w:firstLine="0"/>
        <w:jc w:val="center"/>
        <w:rPr>
          <w:rFonts w:ascii="Arial" w:eastAsia="MS Mincho" w:hAnsi="Arial" w:cs="Arial"/>
          <w:b/>
          <w:bCs/>
          <w:caps/>
          <w:sz w:val="24"/>
          <w:szCs w:val="24"/>
          <w:lang w:val="en-US"/>
        </w:rPr>
      </w:pPr>
    </w:p>
    <w:p w14:paraId="32F3F905" w14:textId="77777777" w:rsidR="00AA2509" w:rsidRDefault="00AA2509" w:rsidP="008941CF">
      <w:pPr>
        <w:autoSpaceDE w:val="0"/>
        <w:autoSpaceDN w:val="0"/>
        <w:adjustRightInd w:val="0"/>
        <w:spacing w:after="0" w:line="240" w:lineRule="auto"/>
        <w:ind w:firstLine="0"/>
        <w:jc w:val="center"/>
        <w:rPr>
          <w:rFonts w:ascii="Arial" w:eastAsia="MS Mincho" w:hAnsi="Arial" w:cs="Arial"/>
          <w:b/>
          <w:bCs/>
          <w:caps/>
          <w:sz w:val="24"/>
          <w:szCs w:val="24"/>
          <w:lang w:val="en-US"/>
        </w:rPr>
      </w:pPr>
    </w:p>
    <w:p w14:paraId="0E1A2B31" w14:textId="4DE69048" w:rsidR="00E90A0D" w:rsidRPr="008941CF" w:rsidRDefault="00D617FD" w:rsidP="008941CF">
      <w:pPr>
        <w:autoSpaceDE w:val="0"/>
        <w:autoSpaceDN w:val="0"/>
        <w:adjustRightInd w:val="0"/>
        <w:spacing w:after="0" w:line="240" w:lineRule="auto"/>
        <w:ind w:firstLine="0"/>
        <w:jc w:val="center"/>
        <w:rPr>
          <w:rFonts w:ascii="Arial" w:eastAsia="MS Mincho" w:hAnsi="Arial" w:cs="Arial"/>
          <w:b/>
          <w:bCs/>
          <w:caps/>
          <w:sz w:val="24"/>
          <w:szCs w:val="24"/>
          <w:lang w:val="en-US"/>
        </w:rPr>
      </w:pPr>
      <w:r>
        <w:rPr>
          <w:rFonts w:ascii="Arial" w:eastAsia="MS Mincho" w:hAnsi="Arial" w:cs="Arial"/>
          <w:b/>
          <w:bCs/>
          <w:caps/>
          <w:sz w:val="24"/>
          <w:szCs w:val="24"/>
          <w:lang w:val="en-US"/>
        </w:rPr>
        <w:t>ROADMAP TO THE</w:t>
      </w:r>
      <w:r w:rsidR="00E90A0D" w:rsidRPr="008941CF">
        <w:rPr>
          <w:rFonts w:ascii="Arial" w:eastAsia="MS Mincho" w:hAnsi="Arial" w:cs="Arial"/>
          <w:b/>
          <w:bCs/>
          <w:caps/>
          <w:sz w:val="24"/>
          <w:szCs w:val="24"/>
          <w:lang w:val="en-US"/>
        </w:rPr>
        <w:t xml:space="preserve"> </w:t>
      </w:r>
      <w:r>
        <w:rPr>
          <w:rFonts w:ascii="Arial" w:eastAsia="MS Mincho" w:hAnsi="Arial" w:cs="Arial"/>
          <w:b/>
          <w:bCs/>
          <w:caps/>
          <w:sz w:val="24"/>
          <w:szCs w:val="24"/>
          <w:lang w:val="en-US"/>
        </w:rPr>
        <w:t xml:space="preserve">PLANETARY DEFENSE </w:t>
      </w:r>
      <w:r w:rsidR="00821ABA">
        <w:rPr>
          <w:rFonts w:ascii="Arial" w:eastAsia="MS Mincho" w:hAnsi="Arial" w:cs="Arial"/>
          <w:b/>
          <w:bCs/>
          <w:caps/>
          <w:sz w:val="24"/>
          <w:szCs w:val="24"/>
          <w:lang w:val="en-US"/>
        </w:rPr>
        <w:br/>
      </w:r>
      <w:r w:rsidR="00E90A0D" w:rsidRPr="008941CF">
        <w:rPr>
          <w:rFonts w:ascii="Arial" w:eastAsia="MS Mincho" w:hAnsi="Arial" w:cs="Arial"/>
          <w:b/>
          <w:bCs/>
          <w:caps/>
          <w:sz w:val="24"/>
          <w:szCs w:val="24"/>
          <w:lang w:val="en-US"/>
        </w:rPr>
        <w:t xml:space="preserve">Multilateral </w:t>
      </w:r>
      <w:r w:rsidR="00821ABA">
        <w:rPr>
          <w:rFonts w:ascii="Arial" w:eastAsia="MS Mincho" w:hAnsi="Arial" w:cs="Arial"/>
          <w:b/>
          <w:bCs/>
          <w:caps/>
          <w:sz w:val="24"/>
          <w:szCs w:val="24"/>
          <w:lang w:val="en-US"/>
        </w:rPr>
        <w:t xml:space="preserve">SECURITY </w:t>
      </w:r>
      <w:r w:rsidR="00E90A0D" w:rsidRPr="008941CF">
        <w:rPr>
          <w:rFonts w:ascii="Arial" w:eastAsia="MS Mincho" w:hAnsi="Arial" w:cs="Arial"/>
          <w:b/>
          <w:bCs/>
          <w:caps/>
          <w:sz w:val="24"/>
          <w:szCs w:val="24"/>
          <w:lang w:val="en-US"/>
        </w:rPr>
        <w:t>Regime</w:t>
      </w:r>
    </w:p>
    <w:p w14:paraId="7B8FDC19" w14:textId="3A58834F" w:rsidR="00E90A0D" w:rsidRDefault="00E90A0D" w:rsidP="008941CF">
      <w:pPr>
        <w:ind w:firstLine="0"/>
        <w:rPr>
          <w:rFonts w:ascii="Arial" w:hAnsi="Arial" w:cs="Arial"/>
          <w:lang w:val="en-US"/>
        </w:rPr>
      </w:pPr>
    </w:p>
    <w:p w14:paraId="039D1D3B" w14:textId="563652B9" w:rsidR="00E90A0D" w:rsidRPr="008941CF" w:rsidRDefault="00E90A0D" w:rsidP="008941CF">
      <w:pPr>
        <w:autoSpaceDE w:val="0"/>
        <w:autoSpaceDN w:val="0"/>
        <w:adjustRightInd w:val="0"/>
        <w:ind w:firstLine="0"/>
        <w:jc w:val="center"/>
        <w:rPr>
          <w:rFonts w:ascii="Arial" w:hAnsi="Arial" w:cs="Arial"/>
          <w:b/>
          <w:bCs/>
          <w:sz w:val="24"/>
          <w:szCs w:val="24"/>
        </w:rPr>
      </w:pPr>
      <w:r w:rsidRPr="008941CF">
        <w:rPr>
          <w:rFonts w:ascii="Arial" w:hAnsi="Arial" w:cs="Arial"/>
          <w:b/>
          <w:bCs/>
          <w:sz w:val="24"/>
          <w:szCs w:val="24"/>
        </w:rPr>
        <w:t>Nikola Schmidt</w:t>
      </w:r>
    </w:p>
    <w:p w14:paraId="3D7708D2" w14:textId="366CA346" w:rsidR="00E90A0D" w:rsidRPr="00197379" w:rsidRDefault="00E90A0D" w:rsidP="008941CF">
      <w:pPr>
        <w:autoSpaceDE w:val="0"/>
        <w:autoSpaceDN w:val="0"/>
        <w:adjustRightInd w:val="0"/>
        <w:ind w:firstLine="0"/>
        <w:jc w:val="center"/>
        <w:rPr>
          <w:rFonts w:ascii="Arial" w:hAnsi="Arial" w:cs="Arial"/>
          <w:i/>
          <w:iCs/>
        </w:rPr>
      </w:pPr>
      <w:r>
        <w:rPr>
          <w:rFonts w:ascii="Arial" w:hAnsi="Arial" w:cs="Arial"/>
          <w:i/>
          <w:iCs/>
        </w:rPr>
        <w:t xml:space="preserve">Institute </w:t>
      </w:r>
      <w:proofErr w:type="spellStart"/>
      <w:r>
        <w:rPr>
          <w:rFonts w:ascii="Arial" w:hAnsi="Arial" w:cs="Arial"/>
          <w:i/>
          <w:iCs/>
        </w:rPr>
        <w:t>of</w:t>
      </w:r>
      <w:proofErr w:type="spellEnd"/>
      <w:r>
        <w:rPr>
          <w:rFonts w:ascii="Arial" w:hAnsi="Arial" w:cs="Arial"/>
          <w:i/>
          <w:iCs/>
        </w:rPr>
        <w:t xml:space="preserve"> International Relations, Prague</w:t>
      </w:r>
      <w:r>
        <w:rPr>
          <w:rFonts w:ascii="Arial" w:hAnsi="Arial" w:cs="Arial"/>
          <w:i/>
          <w:iCs/>
        </w:rPr>
        <w:br/>
        <w:t xml:space="preserve">+420 777 550 333, </w:t>
      </w:r>
      <w:r w:rsidR="00552793">
        <w:rPr>
          <w:rFonts w:ascii="Arial" w:hAnsi="Arial" w:cs="Arial"/>
          <w:i/>
          <w:iCs/>
        </w:rPr>
        <w:t xml:space="preserve">Nerudova 3, Praha </w:t>
      </w:r>
      <w:proofErr w:type="gramStart"/>
      <w:r w:rsidR="00552793">
        <w:rPr>
          <w:rFonts w:ascii="Arial" w:hAnsi="Arial" w:cs="Arial"/>
          <w:i/>
          <w:iCs/>
        </w:rPr>
        <w:t>1 – 118</w:t>
      </w:r>
      <w:proofErr w:type="gramEnd"/>
      <w:r w:rsidR="00552793">
        <w:rPr>
          <w:rFonts w:ascii="Arial" w:hAnsi="Arial" w:cs="Arial"/>
          <w:i/>
          <w:iCs/>
        </w:rPr>
        <w:t xml:space="preserve"> 50</w:t>
      </w:r>
      <w:r>
        <w:rPr>
          <w:rFonts w:ascii="Arial" w:hAnsi="Arial" w:cs="Arial"/>
          <w:i/>
          <w:iCs/>
        </w:rPr>
        <w:t>, schmidt@iir.cz</w:t>
      </w:r>
    </w:p>
    <w:p w14:paraId="7A0522F6" w14:textId="0547DA0B" w:rsidR="00E90A0D" w:rsidRDefault="00E90A0D" w:rsidP="008941CF">
      <w:pPr>
        <w:ind w:firstLine="0"/>
        <w:rPr>
          <w:rFonts w:ascii="Arial" w:hAnsi="Arial" w:cs="Arial"/>
          <w:b/>
          <w:bCs/>
          <w:lang w:val="en-US"/>
        </w:rPr>
      </w:pPr>
    </w:p>
    <w:p w14:paraId="14F06B9E" w14:textId="7D714E52" w:rsidR="00E90A0D" w:rsidRPr="008941CF" w:rsidRDefault="00E90A0D" w:rsidP="008941CF">
      <w:pPr>
        <w:ind w:firstLine="0"/>
        <w:rPr>
          <w:rFonts w:ascii="Arial" w:hAnsi="Arial" w:cs="Arial"/>
          <w:i/>
          <w:iCs/>
          <w:sz w:val="24"/>
          <w:szCs w:val="24"/>
          <w:lang w:val="en-US"/>
        </w:rPr>
      </w:pPr>
      <w:r w:rsidRPr="008941CF">
        <w:rPr>
          <w:rFonts w:ascii="Arial" w:hAnsi="Arial" w:cs="Arial"/>
          <w:b/>
          <w:bCs/>
          <w:i/>
          <w:iCs/>
          <w:sz w:val="24"/>
          <w:szCs w:val="24"/>
          <w:lang w:val="en-US"/>
        </w:rPr>
        <w:t>Keywords:</w:t>
      </w:r>
      <w:r w:rsidRPr="008941CF">
        <w:rPr>
          <w:rFonts w:ascii="Arial" w:hAnsi="Arial" w:cs="Arial"/>
          <w:i/>
          <w:iCs/>
          <w:sz w:val="24"/>
          <w:szCs w:val="24"/>
          <w:lang w:val="en-US"/>
        </w:rPr>
        <w:t xml:space="preserve"> planetary defense; multilateral security regime; </w:t>
      </w:r>
      <w:r w:rsidR="00A919D1">
        <w:rPr>
          <w:rFonts w:ascii="Arial" w:hAnsi="Arial" w:cs="Arial"/>
          <w:i/>
          <w:iCs/>
          <w:sz w:val="24"/>
          <w:szCs w:val="24"/>
          <w:lang w:val="en-US"/>
        </w:rPr>
        <w:t xml:space="preserve">global </w:t>
      </w:r>
      <w:r w:rsidR="008941CF" w:rsidRPr="008941CF">
        <w:rPr>
          <w:rFonts w:ascii="Arial" w:hAnsi="Arial" w:cs="Arial"/>
          <w:i/>
          <w:iCs/>
          <w:sz w:val="24"/>
          <w:szCs w:val="24"/>
          <w:lang w:val="en-US"/>
        </w:rPr>
        <w:t>governance</w:t>
      </w:r>
      <w:proofErr w:type="gramStart"/>
      <w:r w:rsidR="00A919D1">
        <w:rPr>
          <w:rFonts w:ascii="Arial" w:hAnsi="Arial" w:cs="Arial"/>
          <w:i/>
          <w:iCs/>
          <w:sz w:val="24"/>
          <w:szCs w:val="24"/>
          <w:lang w:val="en-US"/>
        </w:rPr>
        <w:t xml:space="preserve">; </w:t>
      </w:r>
      <w:r w:rsidR="008941CF" w:rsidRPr="008941CF">
        <w:rPr>
          <w:rFonts w:ascii="Arial" w:hAnsi="Arial" w:cs="Arial"/>
          <w:i/>
          <w:iCs/>
          <w:sz w:val="24"/>
          <w:szCs w:val="24"/>
          <w:lang w:val="en-US"/>
        </w:rPr>
        <w:t>.</w:t>
      </w:r>
      <w:proofErr w:type="gramEnd"/>
    </w:p>
    <w:p w14:paraId="4A319DE7" w14:textId="7E801AFB" w:rsidR="00E90A0D" w:rsidRPr="00821ABA" w:rsidRDefault="005D77DC" w:rsidP="00E90A0D">
      <w:pPr>
        <w:rPr>
          <w:rFonts w:ascii="Arial" w:hAnsi="Arial" w:cs="Arial"/>
          <w:i/>
          <w:iCs/>
          <w:lang w:val="en-US"/>
        </w:rPr>
      </w:pPr>
      <w:r>
        <w:rPr>
          <w:rFonts w:ascii="Arial" w:hAnsi="Arial" w:cs="Arial"/>
          <w:i/>
          <w:iCs/>
          <w:lang w:val="en-US"/>
        </w:rPr>
        <w:t>497</w:t>
      </w:r>
      <w:r w:rsidR="00821ABA" w:rsidRPr="00821ABA">
        <w:rPr>
          <w:rFonts w:ascii="Arial" w:hAnsi="Arial" w:cs="Arial"/>
          <w:i/>
          <w:iCs/>
          <w:lang w:val="en-US"/>
        </w:rPr>
        <w:t xml:space="preserve"> words:</w:t>
      </w:r>
    </w:p>
    <w:p w14:paraId="2CFF2203" w14:textId="5037CBD8" w:rsidR="00A919D1" w:rsidRDefault="00A919D1" w:rsidP="00A919D1">
      <w:pPr>
        <w:rPr>
          <w:rFonts w:ascii="Arial" w:hAnsi="Arial" w:cs="Arial"/>
          <w:sz w:val="24"/>
          <w:szCs w:val="24"/>
          <w:lang w:val="en-US"/>
        </w:rPr>
      </w:pPr>
      <w:r w:rsidRPr="00A919D1">
        <w:rPr>
          <w:rFonts w:ascii="Arial" w:hAnsi="Arial" w:cs="Arial"/>
          <w:sz w:val="24"/>
          <w:szCs w:val="24"/>
          <w:lang w:val="en-US"/>
        </w:rPr>
        <w:t xml:space="preserve">This paper builds on the 2024 developments within SMPAG and my recently published arguments in </w:t>
      </w:r>
      <w:r w:rsidRPr="001B26BE">
        <w:rPr>
          <w:rFonts w:ascii="Arial" w:hAnsi="Arial" w:cs="Arial"/>
          <w:i/>
          <w:iCs/>
          <w:sz w:val="24"/>
          <w:szCs w:val="24"/>
          <w:lang w:val="en-US"/>
        </w:rPr>
        <w:t xml:space="preserve">Acta </w:t>
      </w:r>
      <w:proofErr w:type="spellStart"/>
      <w:r w:rsidRPr="001B26BE">
        <w:rPr>
          <w:rFonts w:ascii="Arial" w:hAnsi="Arial" w:cs="Arial"/>
          <w:i/>
          <w:iCs/>
          <w:sz w:val="24"/>
          <w:szCs w:val="24"/>
          <w:lang w:val="en-US"/>
        </w:rPr>
        <w:t>Astronautica</w:t>
      </w:r>
      <w:proofErr w:type="spellEnd"/>
      <w:r w:rsidRPr="00A919D1">
        <w:rPr>
          <w:rFonts w:ascii="Arial" w:hAnsi="Arial" w:cs="Arial"/>
          <w:sz w:val="24"/>
          <w:szCs w:val="24"/>
          <w:lang w:val="en-US"/>
        </w:rPr>
        <w:t xml:space="preserve"> and </w:t>
      </w:r>
      <w:r w:rsidRPr="001B26BE">
        <w:rPr>
          <w:rFonts w:ascii="Arial" w:hAnsi="Arial" w:cs="Arial"/>
          <w:i/>
          <w:iCs/>
          <w:sz w:val="24"/>
          <w:szCs w:val="24"/>
          <w:lang w:val="en-US"/>
        </w:rPr>
        <w:t>Nature Communications</w:t>
      </w:r>
      <w:r w:rsidRPr="00A919D1">
        <w:rPr>
          <w:rFonts w:ascii="Arial" w:hAnsi="Arial" w:cs="Arial"/>
          <w:sz w:val="24"/>
          <w:szCs w:val="24"/>
          <w:lang w:val="en-US"/>
        </w:rPr>
        <w:t>. It offers the scientific community and SMPAG delegates a comprehensive roadmap aimed at fostering cooperation in the event of an asteroid being detected on a collision course. The proposed approach seeks to mitigate the challenges typically posed by collective action problems in the global governance of a shared security threat</w:t>
      </w:r>
      <w:r>
        <w:rPr>
          <w:rFonts w:ascii="Arial" w:hAnsi="Arial" w:cs="Arial"/>
          <w:sz w:val="24"/>
          <w:szCs w:val="24"/>
          <w:lang w:val="en-US"/>
        </w:rPr>
        <w:t xml:space="preserve"> through </w:t>
      </w:r>
      <w:r w:rsidRPr="00A919D1">
        <w:rPr>
          <w:rFonts w:ascii="Arial" w:hAnsi="Arial" w:cs="Arial"/>
          <w:sz w:val="24"/>
          <w:szCs w:val="24"/>
          <w:lang w:val="en-US"/>
        </w:rPr>
        <w:t>the establishment of a multilateral planetary defense (PD) security regim</w:t>
      </w:r>
      <w:r>
        <w:rPr>
          <w:rFonts w:ascii="Arial" w:hAnsi="Arial" w:cs="Arial"/>
          <w:sz w:val="24"/>
          <w:szCs w:val="24"/>
          <w:lang w:val="en-US"/>
        </w:rPr>
        <w:t>e.</w:t>
      </w:r>
      <w:r w:rsidRPr="00A919D1">
        <w:rPr>
          <w:rFonts w:ascii="Arial" w:hAnsi="Arial" w:cs="Arial"/>
          <w:sz w:val="24"/>
          <w:szCs w:val="24"/>
          <w:lang w:val="en-US"/>
        </w:rPr>
        <w:t xml:space="preserve"> </w:t>
      </w:r>
    </w:p>
    <w:p w14:paraId="6E5B667D" w14:textId="44758E37" w:rsidR="00E67591" w:rsidRDefault="00A919D1" w:rsidP="00A919D1">
      <w:pPr>
        <w:rPr>
          <w:rFonts w:ascii="Arial" w:hAnsi="Arial" w:cs="Arial"/>
          <w:sz w:val="24"/>
          <w:szCs w:val="24"/>
          <w:lang w:val="en-US"/>
        </w:rPr>
      </w:pPr>
      <w:r w:rsidRPr="00A919D1">
        <w:rPr>
          <w:rFonts w:ascii="Arial" w:hAnsi="Arial" w:cs="Arial"/>
          <w:sz w:val="24"/>
          <w:szCs w:val="24"/>
          <w:lang w:val="en-US"/>
        </w:rPr>
        <w:t>Firstly, the paper outlines the desirable ideal state of the regime</w:t>
      </w:r>
      <w:r w:rsidR="00E825DF">
        <w:rPr>
          <w:rFonts w:ascii="Arial" w:hAnsi="Arial" w:cs="Arial"/>
          <w:sz w:val="24"/>
          <w:szCs w:val="24"/>
          <w:lang w:val="en-US"/>
        </w:rPr>
        <w:t xml:space="preserve">, which </w:t>
      </w:r>
      <w:r w:rsidRPr="00A919D1">
        <w:rPr>
          <w:rFonts w:ascii="Arial" w:hAnsi="Arial" w:cs="Arial"/>
          <w:sz w:val="24"/>
          <w:szCs w:val="24"/>
          <w:lang w:val="en-US"/>
        </w:rPr>
        <w:t xml:space="preserve">is grounded in the common principles of multilateral cooperation: indivisibility and diffuse reciprocity. </w:t>
      </w:r>
      <w:r w:rsidR="00E825DF">
        <w:rPr>
          <w:rFonts w:ascii="Arial" w:hAnsi="Arial" w:cs="Arial"/>
          <w:sz w:val="24"/>
          <w:szCs w:val="24"/>
          <w:lang w:val="en-US"/>
        </w:rPr>
        <w:t xml:space="preserve">In this context, a regime </w:t>
      </w:r>
      <w:r w:rsidRPr="00A919D1">
        <w:rPr>
          <w:rFonts w:ascii="Arial" w:hAnsi="Arial" w:cs="Arial"/>
          <w:sz w:val="24"/>
          <w:szCs w:val="24"/>
          <w:lang w:val="en-US"/>
        </w:rPr>
        <w:t>is understood as a set of rules, norms, principles, and decision-making procedures that facilitate sustainable and mutually beneficial cooperation among states.</w:t>
      </w:r>
      <w:r>
        <w:rPr>
          <w:rFonts w:ascii="Arial" w:hAnsi="Arial" w:cs="Arial"/>
          <w:sz w:val="24"/>
          <w:szCs w:val="24"/>
          <w:lang w:val="en-US"/>
        </w:rPr>
        <w:t xml:space="preserve"> </w:t>
      </w:r>
      <w:r w:rsidRPr="00A919D1">
        <w:rPr>
          <w:rFonts w:ascii="Arial" w:hAnsi="Arial" w:cs="Arial"/>
          <w:sz w:val="24"/>
          <w:szCs w:val="24"/>
          <w:lang w:val="en-US"/>
        </w:rPr>
        <w:t xml:space="preserve">The principle of indivisibility ensures that all member states receive equal assurances of security, regardless of the size of their contributions. Meanwhile, the principle of diffuse reciprocity is realized through the willingness of states to contribute their capabilities </w:t>
      </w:r>
      <w:r w:rsidR="00E825DF">
        <w:rPr>
          <w:rFonts w:ascii="Arial" w:hAnsi="Arial" w:cs="Arial"/>
          <w:sz w:val="24"/>
          <w:szCs w:val="24"/>
          <w:lang w:val="en-US"/>
        </w:rPr>
        <w:t>unequally</w:t>
      </w:r>
      <w:r w:rsidRPr="00A919D1">
        <w:rPr>
          <w:rFonts w:ascii="Arial" w:hAnsi="Arial" w:cs="Arial"/>
          <w:sz w:val="24"/>
          <w:szCs w:val="24"/>
          <w:lang w:val="en-US"/>
        </w:rPr>
        <w:t>. This approach allows smaller states to benefit from the security provided by the broader community, even if their individual contributions are relatively modest. At the same time, it grants powerful states the legitimacy to employ even stigmatized technologies, such as nuclear explosive devices</w:t>
      </w:r>
      <w:r w:rsidR="001B26BE">
        <w:rPr>
          <w:rFonts w:ascii="Arial" w:hAnsi="Arial" w:cs="Arial"/>
          <w:sz w:val="24"/>
          <w:szCs w:val="24"/>
          <w:lang w:val="en-US"/>
        </w:rPr>
        <w:t xml:space="preserve"> (NED)</w:t>
      </w:r>
      <w:r w:rsidRPr="00A919D1">
        <w:rPr>
          <w:rFonts w:ascii="Arial" w:hAnsi="Arial" w:cs="Arial"/>
          <w:sz w:val="24"/>
          <w:szCs w:val="24"/>
          <w:lang w:val="en-US"/>
        </w:rPr>
        <w:t>, as the regime ensures the international community a necessary level of predictability regarding the actions of all actors.</w:t>
      </w:r>
    </w:p>
    <w:p w14:paraId="6664CCB3" w14:textId="62844C59" w:rsidR="00A919D1" w:rsidRDefault="00A919D1" w:rsidP="001B26BE">
      <w:pPr>
        <w:rPr>
          <w:rFonts w:ascii="Arial" w:hAnsi="Arial" w:cs="Arial"/>
          <w:sz w:val="24"/>
          <w:szCs w:val="24"/>
          <w:lang w:val="en-US"/>
        </w:rPr>
      </w:pPr>
      <w:r>
        <w:rPr>
          <w:rFonts w:ascii="Arial" w:hAnsi="Arial" w:cs="Arial"/>
          <w:sz w:val="24"/>
          <w:szCs w:val="24"/>
          <w:lang w:val="en-US"/>
        </w:rPr>
        <w:t>Secondly, the paper proposes various next steps for the international comm</w:t>
      </w:r>
      <w:r w:rsidR="00E825DF">
        <w:rPr>
          <w:rFonts w:ascii="Arial" w:hAnsi="Arial" w:cs="Arial"/>
          <w:sz w:val="24"/>
          <w:szCs w:val="24"/>
          <w:lang w:val="en-US"/>
        </w:rPr>
        <w:t>unity to reach the ideal state</w:t>
      </w:r>
      <w:r w:rsidR="005D77DC">
        <w:rPr>
          <w:rFonts w:ascii="Arial" w:hAnsi="Arial" w:cs="Arial"/>
          <w:sz w:val="24"/>
          <w:szCs w:val="24"/>
          <w:lang w:val="en-US"/>
        </w:rPr>
        <w:t xml:space="preserve"> of the regime</w:t>
      </w:r>
      <w:r w:rsidR="00E825DF">
        <w:rPr>
          <w:rFonts w:ascii="Arial" w:hAnsi="Arial" w:cs="Arial"/>
          <w:sz w:val="24"/>
          <w:szCs w:val="24"/>
          <w:lang w:val="en-US"/>
        </w:rPr>
        <w:t xml:space="preserve">. 1) </w:t>
      </w:r>
      <w:r w:rsidR="001B26BE" w:rsidRPr="001B26BE">
        <w:rPr>
          <w:rFonts w:ascii="Arial" w:hAnsi="Arial" w:cs="Arial"/>
          <w:sz w:val="24"/>
          <w:szCs w:val="24"/>
          <w:lang w:val="en-US"/>
        </w:rPr>
        <w:t xml:space="preserve">Along with technical procedures, any regime includes decision-making </w:t>
      </w:r>
      <w:r w:rsidR="001B26BE">
        <w:rPr>
          <w:rFonts w:ascii="Arial" w:hAnsi="Arial" w:cs="Arial"/>
          <w:sz w:val="24"/>
          <w:szCs w:val="24"/>
          <w:lang w:val="en-US"/>
        </w:rPr>
        <w:t>procedures</w:t>
      </w:r>
      <w:r w:rsidR="001B26BE" w:rsidRPr="001B26BE">
        <w:rPr>
          <w:rFonts w:ascii="Arial" w:hAnsi="Arial" w:cs="Arial"/>
          <w:sz w:val="24"/>
          <w:szCs w:val="24"/>
          <w:lang w:val="en-US"/>
        </w:rPr>
        <w:t xml:space="preserve"> designed to prevent sudden </w:t>
      </w:r>
      <w:r w:rsidR="00DD15FD">
        <w:rPr>
          <w:rFonts w:ascii="Arial" w:hAnsi="Arial" w:cs="Arial"/>
          <w:sz w:val="24"/>
          <w:szCs w:val="24"/>
          <w:lang w:val="en-US"/>
        </w:rPr>
        <w:t xml:space="preserve">unpredictable </w:t>
      </w:r>
      <w:r w:rsidR="001B26BE" w:rsidRPr="001B26BE">
        <w:rPr>
          <w:rFonts w:ascii="Arial" w:hAnsi="Arial" w:cs="Arial"/>
          <w:sz w:val="24"/>
          <w:szCs w:val="24"/>
          <w:lang w:val="en-US"/>
        </w:rPr>
        <w:t>decisions by decision-makers who did not participate in the development of the regime</w:t>
      </w:r>
      <w:r w:rsidR="001B26BE">
        <w:rPr>
          <w:rFonts w:ascii="Arial" w:hAnsi="Arial" w:cs="Arial"/>
          <w:sz w:val="24"/>
          <w:szCs w:val="24"/>
          <w:lang w:val="en-US"/>
        </w:rPr>
        <w:t xml:space="preserve"> – a task for SMPAG</w:t>
      </w:r>
      <w:r w:rsidR="001B26BE" w:rsidRPr="001B26BE">
        <w:rPr>
          <w:rFonts w:ascii="Arial" w:hAnsi="Arial" w:cs="Arial"/>
          <w:sz w:val="24"/>
          <w:szCs w:val="24"/>
          <w:lang w:val="en-US"/>
        </w:rPr>
        <w:t>.</w:t>
      </w:r>
      <w:r w:rsidR="001B26BE">
        <w:rPr>
          <w:rFonts w:ascii="Arial" w:hAnsi="Arial" w:cs="Arial"/>
          <w:sz w:val="24"/>
          <w:szCs w:val="24"/>
          <w:lang w:val="en-US"/>
        </w:rPr>
        <w:t xml:space="preserve"> 2) </w:t>
      </w:r>
      <w:r w:rsidR="001B26BE" w:rsidRPr="001B26BE">
        <w:rPr>
          <w:rFonts w:ascii="Arial" w:hAnsi="Arial" w:cs="Arial"/>
          <w:sz w:val="24"/>
          <w:szCs w:val="24"/>
          <w:lang w:val="en-US"/>
        </w:rPr>
        <w:t>UN General Assembly resolutions lack binding authority but possess significant normative power. A resolution focused on establishing the norm of "Responsibility to Defend Earth" could enhance cooperation by aligning the cognitive perceptions of national delegations on planetary defense</w:t>
      </w:r>
      <w:r w:rsidR="00DD15FD">
        <w:rPr>
          <w:rFonts w:ascii="Arial" w:hAnsi="Arial" w:cs="Arial"/>
          <w:sz w:val="24"/>
          <w:szCs w:val="24"/>
          <w:lang w:val="en-US"/>
        </w:rPr>
        <w:t xml:space="preserve"> – a task for national delegations</w:t>
      </w:r>
      <w:r w:rsidR="001B26BE" w:rsidRPr="001B26BE">
        <w:rPr>
          <w:rFonts w:ascii="Arial" w:hAnsi="Arial" w:cs="Arial"/>
          <w:sz w:val="24"/>
          <w:szCs w:val="24"/>
          <w:lang w:val="en-US"/>
        </w:rPr>
        <w:t>.</w:t>
      </w:r>
      <w:r w:rsidR="001B26BE">
        <w:rPr>
          <w:rFonts w:ascii="Arial" w:hAnsi="Arial" w:cs="Arial"/>
          <w:sz w:val="24"/>
          <w:szCs w:val="24"/>
          <w:lang w:val="en-US"/>
        </w:rPr>
        <w:t xml:space="preserve"> 3) </w:t>
      </w:r>
      <w:r w:rsidR="001B26BE" w:rsidRPr="001B26BE">
        <w:rPr>
          <w:rFonts w:ascii="Arial" w:hAnsi="Arial" w:cs="Arial"/>
          <w:sz w:val="24"/>
          <w:szCs w:val="24"/>
          <w:lang w:val="en-US"/>
        </w:rPr>
        <w:t xml:space="preserve">Drafting the treaty might not result in its formal entry into force, but it could serve to systematize and coordinate diverse </w:t>
      </w:r>
      <w:r w:rsidR="001B26BE" w:rsidRPr="001B26BE">
        <w:rPr>
          <w:rFonts w:ascii="Arial" w:hAnsi="Arial" w:cs="Arial"/>
          <w:sz w:val="24"/>
          <w:szCs w:val="24"/>
          <w:lang w:val="en-US"/>
        </w:rPr>
        <w:lastRenderedPageBreak/>
        <w:t xml:space="preserve">national positions, ultimately shaping the most acceptable regime, which could later be adopted as a recommended </w:t>
      </w:r>
      <w:r w:rsidR="001B26BE">
        <w:rPr>
          <w:rFonts w:ascii="Arial" w:hAnsi="Arial" w:cs="Arial"/>
          <w:sz w:val="24"/>
          <w:szCs w:val="24"/>
          <w:lang w:val="en-US"/>
        </w:rPr>
        <w:t xml:space="preserve">non-binding </w:t>
      </w:r>
      <w:r w:rsidR="001B26BE" w:rsidRPr="001B26BE">
        <w:rPr>
          <w:rFonts w:ascii="Arial" w:hAnsi="Arial" w:cs="Arial"/>
          <w:sz w:val="24"/>
          <w:szCs w:val="24"/>
          <w:lang w:val="en-US"/>
        </w:rPr>
        <w:t>framework for guidance</w:t>
      </w:r>
      <w:r w:rsidR="001B26BE">
        <w:rPr>
          <w:rFonts w:ascii="Arial" w:hAnsi="Arial" w:cs="Arial"/>
          <w:sz w:val="24"/>
          <w:szCs w:val="24"/>
          <w:lang w:val="en-US"/>
        </w:rPr>
        <w:t>, which would still help coordination</w:t>
      </w:r>
      <w:r w:rsidR="00DD15FD">
        <w:rPr>
          <w:rFonts w:ascii="Arial" w:hAnsi="Arial" w:cs="Arial"/>
          <w:sz w:val="24"/>
          <w:szCs w:val="24"/>
          <w:lang w:val="en-US"/>
        </w:rPr>
        <w:t xml:space="preserve"> – task for SMPAG</w:t>
      </w:r>
      <w:r w:rsidR="001B26BE" w:rsidRPr="001B26BE">
        <w:rPr>
          <w:rFonts w:ascii="Arial" w:hAnsi="Arial" w:cs="Arial"/>
          <w:sz w:val="24"/>
          <w:szCs w:val="24"/>
          <w:lang w:val="en-US"/>
        </w:rPr>
        <w:t>.</w:t>
      </w:r>
    </w:p>
    <w:p w14:paraId="79C358E6" w14:textId="29B9DBC9" w:rsidR="001B26BE" w:rsidRPr="00A919D1" w:rsidRDefault="00821ABA" w:rsidP="00821ABA">
      <w:pPr>
        <w:rPr>
          <w:rFonts w:ascii="Arial" w:hAnsi="Arial" w:cs="Arial"/>
          <w:sz w:val="24"/>
          <w:szCs w:val="24"/>
          <w:lang w:val="en-US"/>
        </w:rPr>
      </w:pPr>
      <w:r w:rsidRPr="00821ABA">
        <w:rPr>
          <w:rFonts w:ascii="Arial" w:hAnsi="Arial" w:cs="Arial"/>
          <w:sz w:val="24"/>
          <w:szCs w:val="24"/>
          <w:lang w:val="en-US"/>
        </w:rPr>
        <w:t xml:space="preserve">If the scientific </w:t>
      </w:r>
      <w:r>
        <w:rPr>
          <w:rFonts w:ascii="Arial" w:hAnsi="Arial" w:cs="Arial"/>
          <w:sz w:val="24"/>
          <w:szCs w:val="24"/>
          <w:lang w:val="en-US"/>
        </w:rPr>
        <w:t xml:space="preserve">part </w:t>
      </w:r>
      <w:r w:rsidRPr="00821ABA">
        <w:rPr>
          <w:rFonts w:ascii="Arial" w:hAnsi="Arial" w:cs="Arial"/>
          <w:sz w:val="24"/>
          <w:szCs w:val="24"/>
          <w:lang w:val="en-US"/>
        </w:rPr>
        <w:t>of the planetary defense (PD) community strengthens its argument for the necessity of nuclear explosive devices (NEDs), the only viable approach to challenge the Cold War-era nuclear disarmament legal framework is to construct a new regime specifically tailored to this global security issue. If NEDs remain the sole technology capable of preventing even a localized disaster, the international community must reach a common understanding on the rationale behind their use (norms and principles) and establish a predictable legal framework (rules and procedures). This approach ensures that decisions are guided by a legitimate, collectively agreed-upon regime rather than unilateral declarations by powerful states asserting their readiness to act if requested by those within the risk corridor.</w:t>
      </w:r>
    </w:p>
    <w:sectPr w:rsidR="001B26BE" w:rsidRPr="00A91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yNTM0NTQ0NzMzNTRR0lEKTi0uzszPAykwrAUAhTFi1iwAAAA="/>
  </w:docVars>
  <w:rsids>
    <w:rsidRoot w:val="00E90A0D"/>
    <w:rsid w:val="001B26BE"/>
    <w:rsid w:val="00523CED"/>
    <w:rsid w:val="00552793"/>
    <w:rsid w:val="005D77DC"/>
    <w:rsid w:val="00821ABA"/>
    <w:rsid w:val="008941CF"/>
    <w:rsid w:val="00A919D1"/>
    <w:rsid w:val="00AA2509"/>
    <w:rsid w:val="00D617FD"/>
    <w:rsid w:val="00DD15FD"/>
    <w:rsid w:val="00E67591"/>
    <w:rsid w:val="00E825DF"/>
    <w:rsid w:val="00E90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32AFD"/>
  <w15:chartTrackingRefBased/>
  <w15:docId w15:val="{13C01940-1B7F-4B23-9A91-ED880DD4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0D"/>
    <w:pPr>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0A0D"/>
    <w:pPr>
      <w:spacing w:before="240" w:after="240" w:line="240" w:lineRule="auto"/>
      <w:ind w:firstLine="0"/>
      <w:contextualSpacing/>
      <w:jc w:val="center"/>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E90A0D"/>
    <w:rPr>
      <w:rFonts w:asciiTheme="majorHAnsi" w:eastAsiaTheme="majorEastAsia" w:hAnsiTheme="majorHAnsi" w:cstheme="majorBidi"/>
      <w:spacing w:val="-10"/>
      <w:kern w:val="28"/>
      <w:sz w:val="40"/>
      <w:szCs w:val="4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368675">
      <w:bodyDiv w:val="1"/>
      <w:marLeft w:val="0"/>
      <w:marRight w:val="0"/>
      <w:marTop w:val="0"/>
      <w:marBottom w:val="0"/>
      <w:divBdr>
        <w:top w:val="none" w:sz="0" w:space="0" w:color="auto"/>
        <w:left w:val="none" w:sz="0" w:space="0" w:color="auto"/>
        <w:bottom w:val="none" w:sz="0" w:space="0" w:color="auto"/>
        <w:right w:val="none" w:sz="0" w:space="0" w:color="auto"/>
      </w:divBdr>
      <w:divsChild>
        <w:div w:id="371393695">
          <w:marLeft w:val="0"/>
          <w:marRight w:val="0"/>
          <w:marTop w:val="0"/>
          <w:marBottom w:val="0"/>
          <w:divBdr>
            <w:top w:val="none" w:sz="0" w:space="0" w:color="auto"/>
            <w:left w:val="none" w:sz="0" w:space="0" w:color="auto"/>
            <w:bottom w:val="none" w:sz="0" w:space="0" w:color="auto"/>
            <w:right w:val="none" w:sz="0" w:space="0" w:color="auto"/>
          </w:divBdr>
          <w:divsChild>
            <w:div w:id="203366499">
              <w:marLeft w:val="0"/>
              <w:marRight w:val="0"/>
              <w:marTop w:val="0"/>
              <w:marBottom w:val="0"/>
              <w:divBdr>
                <w:top w:val="none" w:sz="0" w:space="0" w:color="auto"/>
                <w:left w:val="none" w:sz="0" w:space="0" w:color="auto"/>
                <w:bottom w:val="none" w:sz="0" w:space="0" w:color="auto"/>
                <w:right w:val="none" w:sz="0" w:space="0" w:color="auto"/>
              </w:divBdr>
              <w:divsChild>
                <w:div w:id="46493170">
                  <w:marLeft w:val="0"/>
                  <w:marRight w:val="0"/>
                  <w:marTop w:val="0"/>
                  <w:marBottom w:val="0"/>
                  <w:divBdr>
                    <w:top w:val="none" w:sz="0" w:space="0" w:color="auto"/>
                    <w:left w:val="none" w:sz="0" w:space="0" w:color="auto"/>
                    <w:bottom w:val="none" w:sz="0" w:space="0" w:color="auto"/>
                    <w:right w:val="none" w:sz="0" w:space="0" w:color="auto"/>
                  </w:divBdr>
                  <w:divsChild>
                    <w:div w:id="1537425983">
                      <w:marLeft w:val="0"/>
                      <w:marRight w:val="0"/>
                      <w:marTop w:val="0"/>
                      <w:marBottom w:val="0"/>
                      <w:divBdr>
                        <w:top w:val="none" w:sz="0" w:space="0" w:color="auto"/>
                        <w:left w:val="none" w:sz="0" w:space="0" w:color="auto"/>
                        <w:bottom w:val="none" w:sz="0" w:space="0" w:color="auto"/>
                        <w:right w:val="none" w:sz="0" w:space="0" w:color="auto"/>
                      </w:divBdr>
                      <w:divsChild>
                        <w:div w:id="361907167">
                          <w:marLeft w:val="0"/>
                          <w:marRight w:val="0"/>
                          <w:marTop w:val="0"/>
                          <w:marBottom w:val="0"/>
                          <w:divBdr>
                            <w:top w:val="none" w:sz="0" w:space="0" w:color="auto"/>
                            <w:left w:val="none" w:sz="0" w:space="0" w:color="auto"/>
                            <w:bottom w:val="none" w:sz="0" w:space="0" w:color="auto"/>
                            <w:right w:val="none" w:sz="0" w:space="0" w:color="auto"/>
                          </w:divBdr>
                          <w:divsChild>
                            <w:div w:id="19905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6498">
      <w:bodyDiv w:val="1"/>
      <w:marLeft w:val="0"/>
      <w:marRight w:val="0"/>
      <w:marTop w:val="0"/>
      <w:marBottom w:val="0"/>
      <w:divBdr>
        <w:top w:val="none" w:sz="0" w:space="0" w:color="auto"/>
        <w:left w:val="none" w:sz="0" w:space="0" w:color="auto"/>
        <w:bottom w:val="none" w:sz="0" w:space="0" w:color="auto"/>
        <w:right w:val="none" w:sz="0" w:space="0" w:color="auto"/>
      </w:divBdr>
    </w:div>
    <w:div w:id="20185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3273</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Schmidt</dc:creator>
  <cp:keywords/>
  <dc:description/>
  <cp:lastModifiedBy>Nikola Schmidt</cp:lastModifiedBy>
  <cp:revision>3</cp:revision>
  <cp:lastPrinted>2022-12-23T08:31:00Z</cp:lastPrinted>
  <dcterms:created xsi:type="dcterms:W3CDTF">2024-12-15T13:46:00Z</dcterms:created>
  <dcterms:modified xsi:type="dcterms:W3CDTF">2024-12-15T13:48:00Z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d3daaa8b-df7a-4972-9897-b422333dbfd7</vt:lpwstr>
  </property>
</Properties>
</file>