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21A38" w:rsidRDefault="00000000">
      <w:pPr>
        <w:jc w:val="center"/>
        <w:rPr>
          <w:rFonts w:ascii="Arial" w:eastAsia="Arial" w:hAnsi="Arial" w:cs="Arial"/>
          <w:b/>
        </w:rPr>
      </w:pPr>
      <w:r>
        <w:rPr>
          <w:rFonts w:ascii="Arial" w:eastAsia="Arial" w:hAnsi="Arial" w:cs="Arial"/>
          <w:b/>
        </w:rPr>
        <w:t>PDC2025</w:t>
      </w:r>
    </w:p>
    <w:p w14:paraId="00000002" w14:textId="77777777" w:rsidR="00B21A38"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B21A38" w:rsidRDefault="00B21A38">
      <w:pPr>
        <w:jc w:val="center"/>
        <w:rPr>
          <w:rFonts w:ascii="Arial" w:eastAsia="Arial" w:hAnsi="Arial" w:cs="Arial"/>
          <w:b/>
        </w:rPr>
      </w:pPr>
    </w:p>
    <w:p w14:paraId="00000004" w14:textId="77777777" w:rsidR="00B21A38" w:rsidRDefault="00B21A38">
      <w:pPr>
        <w:jc w:val="center"/>
        <w:rPr>
          <w:rFonts w:ascii="Arial" w:eastAsia="Arial" w:hAnsi="Arial" w:cs="Arial"/>
          <w:b/>
        </w:rPr>
      </w:pPr>
    </w:p>
    <w:p w14:paraId="00000005" w14:textId="77777777" w:rsidR="00B21A38" w:rsidRDefault="00000000">
      <w:pPr>
        <w:jc w:val="center"/>
        <w:rPr>
          <w:rFonts w:ascii="Arial" w:eastAsia="Arial" w:hAnsi="Arial" w:cs="Arial"/>
          <w:i/>
        </w:rPr>
      </w:pPr>
      <w:r>
        <w:rPr>
          <w:rFonts w:ascii="Arial" w:eastAsia="Arial" w:hAnsi="Arial" w:cs="Arial"/>
          <w:i/>
        </w:rPr>
        <w:t xml:space="preserve">Please submit your abstract at </w:t>
      </w:r>
      <w:hyperlink r:id="rId7">
        <w:r>
          <w:rPr>
            <w:rFonts w:ascii="Arial" w:eastAsia="Arial" w:hAnsi="Arial" w:cs="Arial"/>
            <w:i/>
            <w:color w:val="0000FF"/>
            <w:u w:val="single"/>
          </w:rPr>
          <w:t>https://iaaspace.org/pdc</w:t>
        </w:r>
      </w:hyperlink>
      <w:r>
        <w:rPr>
          <w:rFonts w:ascii="Arial" w:eastAsia="Arial" w:hAnsi="Arial" w:cs="Arial"/>
          <w:i/>
        </w:rPr>
        <w:t>.</w:t>
      </w:r>
    </w:p>
    <w:p w14:paraId="00000009" w14:textId="77777777" w:rsidR="00B21A38" w:rsidRDefault="00B21A38">
      <w:pPr>
        <w:jc w:val="center"/>
        <w:rPr>
          <w:rFonts w:ascii="Arial" w:eastAsia="Arial" w:hAnsi="Arial" w:cs="Arial"/>
          <w:i/>
        </w:rPr>
      </w:pPr>
    </w:p>
    <w:p w14:paraId="0000000A" w14:textId="77777777" w:rsidR="00B21A38"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B21A38" w:rsidRDefault="00000000">
      <w:pPr>
        <w:rPr>
          <w:rFonts w:ascii="Arial" w:eastAsia="Arial" w:hAnsi="Arial" w:cs="Arial"/>
          <w:b/>
        </w:rPr>
      </w:pPr>
      <w:r>
        <w:rPr>
          <w:rFonts w:ascii="Arial" w:eastAsia="Arial" w:hAnsi="Arial" w:cs="Arial"/>
          <w:b/>
        </w:rPr>
        <w:t>☐ Apophis: T-4 Years</w:t>
      </w:r>
    </w:p>
    <w:p w14:paraId="0000000C" w14:textId="77777777" w:rsidR="00B21A38" w:rsidRDefault="00000000">
      <w:pPr>
        <w:rPr>
          <w:rFonts w:ascii="Arial" w:eastAsia="Arial" w:hAnsi="Arial" w:cs="Arial"/>
          <w:b/>
        </w:rPr>
      </w:pPr>
      <w:r>
        <w:rPr>
          <w:rFonts w:ascii="Arial" w:eastAsia="Arial" w:hAnsi="Arial" w:cs="Arial"/>
          <w:b/>
        </w:rPr>
        <w:t>☐ Hypothetical Asteroid Threat Exercise</w:t>
      </w:r>
    </w:p>
    <w:p w14:paraId="0000000D" w14:textId="77777777" w:rsidR="00B21A38" w:rsidRDefault="00000000">
      <w:pPr>
        <w:rPr>
          <w:rFonts w:ascii="Arial" w:eastAsia="Arial" w:hAnsi="Arial" w:cs="Arial"/>
          <w:b/>
        </w:rPr>
      </w:pPr>
      <w:r>
        <w:rPr>
          <w:rFonts w:ascii="Arial" w:eastAsia="Arial" w:hAnsi="Arial" w:cs="Arial"/>
          <w:b/>
        </w:rPr>
        <w:t>☐ Key International and Policy Developments</w:t>
      </w:r>
    </w:p>
    <w:p w14:paraId="0000000E" w14:textId="77777777" w:rsidR="00B21A38" w:rsidRDefault="00000000">
      <w:pPr>
        <w:rPr>
          <w:rFonts w:ascii="Arial" w:eastAsia="Arial" w:hAnsi="Arial" w:cs="Arial"/>
          <w:b/>
        </w:rPr>
      </w:pPr>
      <w:r>
        <w:rPr>
          <w:rFonts w:ascii="Arial" w:eastAsia="Arial" w:hAnsi="Arial" w:cs="Arial"/>
          <w:b/>
        </w:rPr>
        <w:t>☐ Near-Earth Object (NEO) Discovery</w:t>
      </w:r>
    </w:p>
    <w:p w14:paraId="0000000F" w14:textId="77777777" w:rsidR="00B21A38" w:rsidRDefault="00000000">
      <w:pPr>
        <w:rPr>
          <w:rFonts w:ascii="Arial" w:eastAsia="Arial" w:hAnsi="Arial" w:cs="Arial"/>
          <w:b/>
        </w:rPr>
      </w:pPr>
      <w:r>
        <w:rPr>
          <w:rFonts w:ascii="Arial" w:eastAsia="Arial" w:hAnsi="Arial" w:cs="Arial"/>
          <w:b/>
        </w:rPr>
        <w:t>☐ NEO Characterization</w:t>
      </w:r>
    </w:p>
    <w:p w14:paraId="00000010" w14:textId="77777777" w:rsidR="00B21A38" w:rsidRDefault="00000000">
      <w:pPr>
        <w:rPr>
          <w:rFonts w:ascii="Arial" w:eastAsia="Arial" w:hAnsi="Arial" w:cs="Arial"/>
          <w:b/>
        </w:rPr>
      </w:pPr>
      <w:r>
        <w:rPr>
          <w:rFonts w:ascii="Arial" w:eastAsia="Arial" w:hAnsi="Arial" w:cs="Arial"/>
          <w:b/>
        </w:rPr>
        <w:t>☐ Deflection / Disruption Modeling &amp; Testing</w:t>
      </w:r>
    </w:p>
    <w:p w14:paraId="00000011" w14:textId="77777777" w:rsidR="00B21A38" w:rsidRDefault="00000000">
      <w:pPr>
        <w:rPr>
          <w:rFonts w:ascii="Arial" w:eastAsia="Arial" w:hAnsi="Arial" w:cs="Arial"/>
          <w:b/>
        </w:rPr>
      </w:pPr>
      <w:r w:rsidRPr="00F3619E">
        <w:rPr>
          <w:rFonts w:ascii="Arial" w:eastAsia="Arial" w:hAnsi="Arial" w:cs="Arial"/>
          <w:b/>
          <w:highlight w:val="yellow"/>
        </w:rPr>
        <w:t>☐ Space Mission &amp; Campaign Design</w:t>
      </w:r>
    </w:p>
    <w:p w14:paraId="00000012" w14:textId="77777777" w:rsidR="00B21A38" w:rsidRDefault="00000000">
      <w:pPr>
        <w:rPr>
          <w:rFonts w:ascii="Arial" w:eastAsia="Arial" w:hAnsi="Arial" w:cs="Arial"/>
          <w:b/>
        </w:rPr>
      </w:pPr>
      <w:r>
        <w:rPr>
          <w:rFonts w:ascii="Arial" w:eastAsia="Arial" w:hAnsi="Arial" w:cs="Arial"/>
          <w:b/>
        </w:rPr>
        <w:t>☐ Earth Impact Effects &amp; Consequences</w:t>
      </w:r>
    </w:p>
    <w:p w14:paraId="00000013" w14:textId="77777777" w:rsidR="00B21A38" w:rsidRDefault="00000000">
      <w:pPr>
        <w:rPr>
          <w:rFonts w:ascii="Arial" w:eastAsia="Arial" w:hAnsi="Arial" w:cs="Arial"/>
          <w:b/>
        </w:rPr>
      </w:pPr>
      <w:r>
        <w:rPr>
          <w:rFonts w:ascii="Arial" w:eastAsia="Arial" w:hAnsi="Arial" w:cs="Arial"/>
          <w:b/>
        </w:rPr>
        <w:t>☐ Disaster Management &amp; Impact Response</w:t>
      </w:r>
    </w:p>
    <w:p w14:paraId="00000014" w14:textId="77777777" w:rsidR="00B21A38" w:rsidRDefault="00000000">
      <w:pPr>
        <w:rPr>
          <w:rFonts w:ascii="Arial" w:eastAsia="Arial" w:hAnsi="Arial" w:cs="Arial"/>
          <w:b/>
        </w:rPr>
      </w:pPr>
      <w:r>
        <w:rPr>
          <w:rFonts w:ascii="Arial" w:eastAsia="Arial" w:hAnsi="Arial" w:cs="Arial"/>
          <w:b/>
        </w:rPr>
        <w:t>☐ Public Education and Communication</w:t>
      </w:r>
    </w:p>
    <w:p w14:paraId="00000015" w14:textId="77777777" w:rsidR="00B21A38"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B21A38" w:rsidRDefault="00B21A38">
      <w:pPr>
        <w:jc w:val="center"/>
        <w:rPr>
          <w:rFonts w:ascii="Arial" w:eastAsia="Arial" w:hAnsi="Arial" w:cs="Arial"/>
          <w:b/>
        </w:rPr>
      </w:pPr>
    </w:p>
    <w:p w14:paraId="00000017" w14:textId="77777777" w:rsidR="00B21A38" w:rsidRDefault="00B21A38">
      <w:pPr>
        <w:jc w:val="center"/>
        <w:rPr>
          <w:rFonts w:ascii="Arial" w:eastAsia="Arial" w:hAnsi="Arial" w:cs="Arial"/>
          <w:b/>
        </w:rPr>
      </w:pPr>
    </w:p>
    <w:p w14:paraId="34E56FA5" w14:textId="55663E40" w:rsidR="00B34162" w:rsidRPr="005D04F1" w:rsidRDefault="00B34162" w:rsidP="00B34162">
      <w:pPr>
        <w:jc w:val="center"/>
        <w:rPr>
          <w:b/>
          <w:bCs/>
        </w:rPr>
      </w:pPr>
      <w:r>
        <w:rPr>
          <w:b/>
          <w:bCs/>
        </w:rPr>
        <w:t>LOOK BEFORE YOU LEAP: APPROACHES FOR RAPID RESPONSE RECONNAISSANCE OF NEOS</w:t>
      </w:r>
    </w:p>
    <w:p w14:paraId="00000019" w14:textId="77777777" w:rsidR="00B21A38" w:rsidRDefault="00B21A38">
      <w:pPr>
        <w:rPr>
          <w:rFonts w:ascii="Arial" w:eastAsia="Arial" w:hAnsi="Arial" w:cs="Arial"/>
          <w:b/>
        </w:rPr>
      </w:pPr>
    </w:p>
    <w:p w14:paraId="4058A1CA" w14:textId="36F2C867" w:rsidR="00F3619E" w:rsidRPr="00F3619E" w:rsidRDefault="00F3619E" w:rsidP="00F3619E">
      <w:pPr>
        <w:jc w:val="center"/>
        <w:rPr>
          <w:b/>
          <w:bCs/>
          <w:vertAlign w:val="superscript"/>
        </w:rPr>
      </w:pPr>
      <w:r w:rsidRPr="00F3619E">
        <w:rPr>
          <w:b/>
          <w:bCs/>
        </w:rPr>
        <w:t xml:space="preserve">Benjamin </w:t>
      </w:r>
      <w:proofErr w:type="gramStart"/>
      <w:r w:rsidRPr="00F3619E">
        <w:rPr>
          <w:b/>
          <w:bCs/>
        </w:rPr>
        <w:t>Donitz</w:t>
      </w:r>
      <w:r>
        <w:rPr>
          <w:b/>
          <w:bCs/>
          <w:vertAlign w:val="superscript"/>
        </w:rPr>
        <w:t>(</w:t>
      </w:r>
      <w:proofErr w:type="gramEnd"/>
      <w:r>
        <w:rPr>
          <w:b/>
          <w:bCs/>
          <w:vertAlign w:val="superscript"/>
        </w:rPr>
        <w:t>1)</w:t>
      </w:r>
      <w:r w:rsidRPr="00F3619E">
        <w:rPr>
          <w:b/>
          <w:bCs/>
        </w:rPr>
        <w:t>, Joseph Lazio</w:t>
      </w:r>
      <w:r>
        <w:rPr>
          <w:b/>
          <w:bCs/>
          <w:vertAlign w:val="superscript"/>
        </w:rPr>
        <w:t>(1)</w:t>
      </w:r>
      <w:r w:rsidRPr="00F3619E">
        <w:rPr>
          <w:b/>
          <w:bCs/>
        </w:rPr>
        <w:t>, James F. Bell</w:t>
      </w:r>
      <w:r>
        <w:rPr>
          <w:b/>
          <w:bCs/>
          <w:vertAlign w:val="superscript"/>
        </w:rPr>
        <w:t>(2)</w:t>
      </w:r>
      <w:r w:rsidRPr="00F3619E">
        <w:rPr>
          <w:b/>
          <w:bCs/>
        </w:rPr>
        <w:t>, III, Julie Castillo-</w:t>
      </w:r>
      <w:proofErr w:type="spellStart"/>
      <w:r w:rsidRPr="00F3619E">
        <w:rPr>
          <w:b/>
          <w:bCs/>
        </w:rPr>
        <w:t>Rogez</w:t>
      </w:r>
      <w:proofErr w:type="spellEnd"/>
      <w:r>
        <w:rPr>
          <w:b/>
          <w:bCs/>
          <w:vertAlign w:val="superscript"/>
        </w:rPr>
        <w:t>(1)</w:t>
      </w:r>
      <w:r w:rsidRPr="00F3619E">
        <w:rPr>
          <w:b/>
          <w:bCs/>
        </w:rPr>
        <w:t>, Carol Raymond</w:t>
      </w:r>
      <w:r>
        <w:rPr>
          <w:b/>
          <w:bCs/>
          <w:vertAlign w:val="superscript"/>
        </w:rPr>
        <w:t>(1)</w:t>
      </w:r>
      <w:r w:rsidRPr="00F3619E">
        <w:rPr>
          <w:b/>
          <w:bCs/>
        </w:rPr>
        <w:t>, Declan Mages</w:t>
      </w:r>
      <w:r>
        <w:rPr>
          <w:b/>
          <w:bCs/>
          <w:vertAlign w:val="superscript"/>
        </w:rPr>
        <w:t>(1)</w:t>
      </w:r>
      <w:r w:rsidRPr="00F3619E">
        <w:rPr>
          <w:b/>
          <w:bCs/>
        </w:rPr>
        <w:t>, Paul Chodas</w:t>
      </w:r>
      <w:r>
        <w:rPr>
          <w:b/>
          <w:bCs/>
          <w:vertAlign w:val="superscript"/>
        </w:rPr>
        <w:t>(1)</w:t>
      </w:r>
      <w:r w:rsidRPr="00F3619E">
        <w:rPr>
          <w:b/>
          <w:bCs/>
        </w:rPr>
        <w:t>, Darryl Z. Seligman</w:t>
      </w:r>
      <w:r>
        <w:rPr>
          <w:b/>
          <w:bCs/>
          <w:vertAlign w:val="superscript"/>
        </w:rPr>
        <w:t>(3)</w:t>
      </w:r>
      <w:r w:rsidR="00F1350C">
        <w:rPr>
          <w:b/>
          <w:bCs/>
          <w:vertAlign w:val="superscript"/>
        </w:rPr>
        <w:t>,(4)</w:t>
      </w:r>
      <w:r w:rsidRPr="00F3619E">
        <w:rPr>
          <w:b/>
          <w:bCs/>
        </w:rPr>
        <w:t>, Karen Meech</w:t>
      </w:r>
      <w:r>
        <w:rPr>
          <w:b/>
          <w:bCs/>
          <w:vertAlign w:val="superscript"/>
        </w:rPr>
        <w:t>(</w:t>
      </w:r>
      <w:r w:rsidR="00F1350C">
        <w:rPr>
          <w:b/>
          <w:bCs/>
          <w:vertAlign w:val="superscript"/>
        </w:rPr>
        <w:t>5</w:t>
      </w:r>
      <w:r>
        <w:rPr>
          <w:b/>
          <w:bCs/>
          <w:vertAlign w:val="superscript"/>
        </w:rPr>
        <w:t>)</w:t>
      </w:r>
      <w:r w:rsidRPr="00F3619E">
        <w:rPr>
          <w:b/>
          <w:bCs/>
        </w:rPr>
        <w:t>, Paul Abell</w:t>
      </w:r>
      <w:r>
        <w:rPr>
          <w:b/>
          <w:bCs/>
          <w:vertAlign w:val="superscript"/>
        </w:rPr>
        <w:t>(</w:t>
      </w:r>
      <w:r w:rsidR="00F1350C">
        <w:rPr>
          <w:b/>
          <w:bCs/>
          <w:vertAlign w:val="superscript"/>
        </w:rPr>
        <w:t>6</w:t>
      </w:r>
      <w:r>
        <w:rPr>
          <w:b/>
          <w:bCs/>
          <w:vertAlign w:val="superscript"/>
        </w:rPr>
        <w:t>)</w:t>
      </w:r>
      <w:r w:rsidRPr="00F3619E">
        <w:rPr>
          <w:b/>
          <w:bCs/>
        </w:rPr>
        <w:t>, Naoya Ozaki</w:t>
      </w:r>
      <w:r>
        <w:rPr>
          <w:b/>
          <w:bCs/>
          <w:vertAlign w:val="superscript"/>
        </w:rPr>
        <w:t>(</w:t>
      </w:r>
      <w:r w:rsidR="00F1350C">
        <w:rPr>
          <w:b/>
          <w:bCs/>
          <w:vertAlign w:val="superscript"/>
        </w:rPr>
        <w:t>7</w:t>
      </w:r>
      <w:r>
        <w:rPr>
          <w:b/>
          <w:bCs/>
          <w:vertAlign w:val="superscript"/>
        </w:rPr>
        <w:t>)</w:t>
      </w:r>
      <w:r w:rsidRPr="00F3619E">
        <w:rPr>
          <w:b/>
          <w:bCs/>
        </w:rPr>
        <w:t>, Mike Brown</w:t>
      </w:r>
      <w:r>
        <w:rPr>
          <w:b/>
          <w:bCs/>
          <w:vertAlign w:val="superscript"/>
        </w:rPr>
        <w:t>(</w:t>
      </w:r>
      <w:r w:rsidR="00F1350C">
        <w:rPr>
          <w:b/>
          <w:bCs/>
          <w:vertAlign w:val="superscript"/>
        </w:rPr>
        <w:t>8</w:t>
      </w:r>
      <w:r>
        <w:rPr>
          <w:b/>
          <w:bCs/>
          <w:vertAlign w:val="superscript"/>
        </w:rPr>
        <w:t>)</w:t>
      </w:r>
      <w:r w:rsidRPr="00F3619E">
        <w:rPr>
          <w:b/>
          <w:bCs/>
        </w:rPr>
        <w:t>, Hajime Yano</w:t>
      </w:r>
      <w:r>
        <w:rPr>
          <w:b/>
          <w:bCs/>
          <w:vertAlign w:val="superscript"/>
        </w:rPr>
        <w:t>(</w:t>
      </w:r>
      <w:r w:rsidR="00F1350C">
        <w:rPr>
          <w:b/>
          <w:bCs/>
          <w:vertAlign w:val="superscript"/>
        </w:rPr>
        <w:t>9)</w:t>
      </w:r>
    </w:p>
    <w:p w14:paraId="0000001A" w14:textId="4FE9330F" w:rsidR="00B21A38" w:rsidRDefault="00B21A38">
      <w:pPr>
        <w:jc w:val="center"/>
        <w:rPr>
          <w:rFonts w:ascii="Arial" w:eastAsia="Arial" w:hAnsi="Arial" w:cs="Arial"/>
          <w:b/>
        </w:rPr>
      </w:pPr>
    </w:p>
    <w:p w14:paraId="0000001B" w14:textId="6DC31E72" w:rsidR="00B21A38" w:rsidRDefault="00000000">
      <w:pPr>
        <w:jc w:val="center"/>
        <w:rPr>
          <w:rFonts w:ascii="Arial" w:eastAsia="Arial" w:hAnsi="Arial" w:cs="Arial"/>
          <w:i/>
        </w:rPr>
      </w:pPr>
      <w:r>
        <w:rPr>
          <w:rFonts w:ascii="Arial" w:eastAsia="Arial" w:hAnsi="Arial" w:cs="Arial"/>
          <w:vertAlign w:val="superscript"/>
        </w:rPr>
        <w:t>(1)</w:t>
      </w:r>
      <w:r w:rsidR="00F3619E">
        <w:rPr>
          <w:rFonts w:ascii="Arial" w:eastAsia="Arial" w:hAnsi="Arial" w:cs="Arial"/>
          <w:i/>
        </w:rPr>
        <w:t xml:space="preserve"> Jet Propulsion Laboratory, California Institute of Technology, 4800 Oak Grove Dr., La Cañada Flintridge, CA 91001</w:t>
      </w:r>
      <w:r w:rsidR="00B34162">
        <w:rPr>
          <w:rFonts w:ascii="Arial" w:eastAsia="Arial" w:hAnsi="Arial" w:cs="Arial"/>
          <w:i/>
        </w:rPr>
        <w:t>; Benjamin.P.Donitz@jpl.nasa.gov</w:t>
      </w:r>
    </w:p>
    <w:p w14:paraId="0000001D" w14:textId="701AF9CD" w:rsidR="00B21A38" w:rsidRDefault="00000000">
      <w:pPr>
        <w:jc w:val="center"/>
        <w:rPr>
          <w:rFonts w:ascii="Arial" w:eastAsia="Arial" w:hAnsi="Arial" w:cs="Arial"/>
          <w:i/>
        </w:rPr>
      </w:pPr>
      <w:r>
        <w:rPr>
          <w:rFonts w:ascii="Arial" w:eastAsia="Arial" w:hAnsi="Arial" w:cs="Arial"/>
          <w:vertAlign w:val="superscript"/>
        </w:rPr>
        <w:t>(</w:t>
      </w:r>
      <w:r w:rsidR="00F3619E">
        <w:rPr>
          <w:rFonts w:ascii="Arial" w:eastAsia="Arial" w:hAnsi="Arial" w:cs="Arial"/>
          <w:vertAlign w:val="superscript"/>
        </w:rPr>
        <w:t>2</w:t>
      </w:r>
      <w:r>
        <w:rPr>
          <w:rFonts w:ascii="Arial" w:eastAsia="Arial" w:hAnsi="Arial" w:cs="Arial"/>
          <w:vertAlign w:val="superscript"/>
        </w:rPr>
        <w:t>)</w:t>
      </w:r>
      <w:r>
        <w:rPr>
          <w:rFonts w:ascii="Arial" w:eastAsia="Arial" w:hAnsi="Arial" w:cs="Arial"/>
          <w:i/>
        </w:rPr>
        <w:t xml:space="preserve"> </w:t>
      </w:r>
      <w:r w:rsidR="00F1350C" w:rsidRPr="00F1350C">
        <w:rPr>
          <w:rFonts w:ascii="Arial" w:eastAsia="Arial" w:hAnsi="Arial" w:cs="Arial"/>
          <w:i/>
        </w:rPr>
        <w:t>School of Earth and Space Exploration, Arizona State University, Tempe, AZ 85281, USA.</w:t>
      </w:r>
    </w:p>
    <w:p w14:paraId="5F509457" w14:textId="5C0B7F78" w:rsidR="00F1350C" w:rsidRDefault="00F1350C">
      <w:pPr>
        <w:jc w:val="center"/>
        <w:rPr>
          <w:rFonts w:ascii="Arial" w:eastAsia="Arial" w:hAnsi="Arial" w:cs="Arial"/>
          <w:i/>
        </w:rPr>
      </w:pPr>
      <w:r>
        <w:rPr>
          <w:rFonts w:ascii="Arial" w:eastAsia="Arial" w:hAnsi="Arial" w:cs="Arial"/>
          <w:i/>
          <w:vertAlign w:val="superscript"/>
        </w:rPr>
        <w:t>(3)</w:t>
      </w:r>
      <w:r w:rsidRPr="00F1350C">
        <w:rPr>
          <w:rFonts w:ascii="Helvetica Neue" w:hAnsi="Helvetica Neue" w:cs="Helvetica Neue"/>
          <w:color w:val="3F3F3F"/>
          <w:sz w:val="26"/>
          <w:szCs w:val="26"/>
        </w:rPr>
        <w:t xml:space="preserve"> </w:t>
      </w:r>
      <w:r w:rsidRPr="00F1350C">
        <w:rPr>
          <w:rFonts w:ascii="Arial" w:eastAsia="Arial" w:hAnsi="Arial" w:cs="Arial"/>
          <w:i/>
        </w:rPr>
        <w:t>Department of Physics and Astronomy, Michigan State University, East Lansing, MI 48824, USA</w:t>
      </w:r>
    </w:p>
    <w:p w14:paraId="14F852A6" w14:textId="733209DE" w:rsidR="00F1350C" w:rsidRDefault="00F1350C" w:rsidP="00F1350C">
      <w:pPr>
        <w:jc w:val="center"/>
        <w:rPr>
          <w:rFonts w:ascii="Arial" w:eastAsia="Arial" w:hAnsi="Arial" w:cs="Arial"/>
          <w:i/>
        </w:rPr>
      </w:pPr>
      <w:r>
        <w:rPr>
          <w:rFonts w:ascii="Arial" w:eastAsia="Arial" w:hAnsi="Arial" w:cs="Arial"/>
          <w:i/>
          <w:vertAlign w:val="superscript"/>
        </w:rPr>
        <w:t>(</w:t>
      </w:r>
      <w:r>
        <w:rPr>
          <w:rFonts w:ascii="Arial" w:eastAsia="Arial" w:hAnsi="Arial" w:cs="Arial"/>
          <w:i/>
          <w:vertAlign w:val="superscript"/>
        </w:rPr>
        <w:t>4</w:t>
      </w:r>
      <w:r>
        <w:rPr>
          <w:rFonts w:ascii="Arial" w:eastAsia="Arial" w:hAnsi="Arial" w:cs="Arial"/>
          <w:i/>
          <w:vertAlign w:val="superscript"/>
        </w:rPr>
        <w:t>)</w:t>
      </w:r>
      <w:r w:rsidRPr="00F1350C">
        <w:rPr>
          <w:rFonts w:ascii="Helvetica Neue" w:hAnsi="Helvetica Neue" w:cs="Helvetica Neue"/>
          <w:color w:val="3F3F3F"/>
          <w:sz w:val="26"/>
          <w:szCs w:val="26"/>
        </w:rPr>
        <w:t xml:space="preserve"> </w:t>
      </w:r>
      <w:r w:rsidRPr="00F1350C">
        <w:rPr>
          <w:rFonts w:ascii="Arial" w:eastAsia="Arial" w:hAnsi="Arial" w:cs="Arial"/>
          <w:i/>
        </w:rPr>
        <w:t>NSF Astronomy and Astrophysics Postdoctoral Fellow</w:t>
      </w:r>
    </w:p>
    <w:p w14:paraId="692DA7E5" w14:textId="4C9FBDBC" w:rsidR="00F1350C" w:rsidRDefault="00F1350C" w:rsidP="00F1350C">
      <w:pPr>
        <w:jc w:val="center"/>
        <w:rPr>
          <w:rFonts w:ascii="Arial" w:eastAsia="Arial" w:hAnsi="Arial" w:cs="Arial"/>
          <w:i/>
        </w:rPr>
      </w:pPr>
      <w:r>
        <w:rPr>
          <w:rFonts w:ascii="Arial" w:eastAsia="Arial" w:hAnsi="Arial" w:cs="Arial"/>
          <w:i/>
          <w:vertAlign w:val="superscript"/>
        </w:rPr>
        <w:t>(</w:t>
      </w:r>
      <w:r w:rsidR="00B34162">
        <w:rPr>
          <w:rFonts w:ascii="Arial" w:eastAsia="Arial" w:hAnsi="Arial" w:cs="Arial"/>
          <w:i/>
          <w:vertAlign w:val="superscript"/>
        </w:rPr>
        <w:t>5)</w:t>
      </w:r>
      <w:r w:rsidR="00B34162">
        <w:rPr>
          <w:rFonts w:ascii="Arial" w:eastAsia="Arial" w:hAnsi="Arial" w:cs="Arial"/>
          <w:i/>
        </w:rPr>
        <w:t xml:space="preserve"> Institute</w:t>
      </w:r>
      <w:r>
        <w:rPr>
          <w:rFonts w:ascii="Arial" w:eastAsia="Arial" w:hAnsi="Arial" w:cs="Arial"/>
          <w:i/>
        </w:rPr>
        <w:t xml:space="preserve"> for Astronomy, University of Hawaii, 2680 Woodlawn Dr, Honolulu, HI 96822</w:t>
      </w:r>
    </w:p>
    <w:p w14:paraId="02DCFA04" w14:textId="7CCA1EB9" w:rsidR="00F1350C" w:rsidRDefault="00F1350C" w:rsidP="00F1350C">
      <w:pPr>
        <w:jc w:val="center"/>
        <w:rPr>
          <w:rFonts w:ascii="Arial" w:eastAsia="Arial" w:hAnsi="Arial" w:cs="Arial"/>
        </w:rPr>
      </w:pPr>
      <w:r>
        <w:rPr>
          <w:rFonts w:ascii="Arial" w:eastAsia="Arial" w:hAnsi="Arial" w:cs="Arial"/>
          <w:vertAlign w:val="superscript"/>
        </w:rPr>
        <w:t>(6)</w:t>
      </w:r>
      <w:r>
        <w:rPr>
          <w:rFonts w:ascii="Arial" w:eastAsia="Arial" w:hAnsi="Arial" w:cs="Arial"/>
        </w:rPr>
        <w:t xml:space="preserve"> Johnson Space Center, </w:t>
      </w:r>
      <w:proofErr w:type="spellStart"/>
      <w:r>
        <w:rPr>
          <w:rFonts w:ascii="Arial" w:eastAsia="Arial" w:hAnsi="Arial" w:cs="Arial"/>
        </w:rPr>
        <w:t>Houson</w:t>
      </w:r>
      <w:proofErr w:type="spellEnd"/>
      <w:r>
        <w:rPr>
          <w:rFonts w:ascii="Arial" w:eastAsia="Arial" w:hAnsi="Arial" w:cs="Arial"/>
        </w:rPr>
        <w:t>, TX 77058</w:t>
      </w:r>
    </w:p>
    <w:p w14:paraId="3D9B0CFC" w14:textId="6A583D82" w:rsidR="00F1350C" w:rsidRDefault="00F1350C" w:rsidP="00F1350C">
      <w:pPr>
        <w:jc w:val="center"/>
        <w:rPr>
          <w:rFonts w:ascii="Arial" w:eastAsia="Arial" w:hAnsi="Arial" w:cs="Arial"/>
        </w:rPr>
      </w:pPr>
      <w:r>
        <w:rPr>
          <w:rFonts w:ascii="Arial" w:eastAsia="Arial" w:hAnsi="Arial" w:cs="Arial"/>
          <w:vertAlign w:val="superscript"/>
        </w:rPr>
        <w:t xml:space="preserve">(7) </w:t>
      </w:r>
      <w:r w:rsidRPr="00F1350C">
        <w:rPr>
          <w:rFonts w:ascii="Arial" w:eastAsia="Arial" w:hAnsi="Arial" w:cs="Arial"/>
        </w:rPr>
        <w:t>Department of Spacecraft Engineering,</w:t>
      </w:r>
      <w:r>
        <w:rPr>
          <w:rFonts w:ascii="Arial" w:eastAsia="Arial" w:hAnsi="Arial" w:cs="Arial"/>
        </w:rPr>
        <w:t xml:space="preserve"> </w:t>
      </w:r>
      <w:r w:rsidRPr="00F1350C">
        <w:rPr>
          <w:rFonts w:ascii="Arial" w:eastAsia="Arial" w:hAnsi="Arial" w:cs="Arial"/>
        </w:rPr>
        <w:t>Institute of Space and Astronautical Science,</w:t>
      </w:r>
      <w:r>
        <w:rPr>
          <w:rFonts w:ascii="Arial" w:eastAsia="Arial" w:hAnsi="Arial" w:cs="Arial"/>
        </w:rPr>
        <w:t xml:space="preserve"> </w:t>
      </w:r>
      <w:r w:rsidRPr="00F1350C">
        <w:rPr>
          <w:rFonts w:ascii="Arial" w:eastAsia="Arial" w:hAnsi="Arial" w:cs="Arial"/>
        </w:rPr>
        <w:t>Japan Aerospace Exploration Agency</w:t>
      </w:r>
    </w:p>
    <w:p w14:paraId="6AABB91C" w14:textId="37897152" w:rsidR="00F1350C" w:rsidRDefault="00F1350C" w:rsidP="00F1350C">
      <w:pPr>
        <w:jc w:val="center"/>
        <w:rPr>
          <w:rFonts w:ascii="Arial" w:eastAsia="Arial" w:hAnsi="Arial" w:cs="Arial"/>
        </w:rPr>
      </w:pPr>
      <w:r>
        <w:rPr>
          <w:rFonts w:ascii="Arial" w:eastAsia="Arial" w:hAnsi="Arial" w:cs="Arial"/>
          <w:vertAlign w:val="superscript"/>
        </w:rPr>
        <w:t xml:space="preserve">(8) </w:t>
      </w:r>
      <w:r>
        <w:rPr>
          <w:rFonts w:ascii="Arial" w:eastAsia="Arial" w:hAnsi="Arial" w:cs="Arial"/>
        </w:rPr>
        <w:t>Division of Geological and Planetary Sciences, California Institute of Technology, Pasadena, CA 91125</w:t>
      </w:r>
    </w:p>
    <w:p w14:paraId="0EBB9A17" w14:textId="408C4E1C" w:rsidR="00F1350C" w:rsidRPr="00F1350C" w:rsidRDefault="00F1350C" w:rsidP="00F1350C">
      <w:pPr>
        <w:jc w:val="center"/>
        <w:rPr>
          <w:rFonts w:ascii="Arial" w:eastAsia="Arial" w:hAnsi="Arial" w:cs="Arial"/>
        </w:rPr>
      </w:pPr>
      <w:r>
        <w:rPr>
          <w:rFonts w:ascii="Arial" w:eastAsia="Arial" w:hAnsi="Arial" w:cs="Arial"/>
          <w:vertAlign w:val="superscript"/>
        </w:rPr>
        <w:t xml:space="preserve">(9) </w:t>
      </w:r>
      <w:r w:rsidR="00B34162" w:rsidRPr="00F1350C">
        <w:rPr>
          <w:rFonts w:ascii="Arial" w:eastAsia="Arial" w:hAnsi="Arial" w:cs="Arial"/>
        </w:rPr>
        <w:t xml:space="preserve">Department of </w:t>
      </w:r>
      <w:r w:rsidR="00B34162">
        <w:rPr>
          <w:rFonts w:ascii="Arial" w:eastAsia="Arial" w:hAnsi="Arial" w:cs="Arial"/>
        </w:rPr>
        <w:t>Interdisciplinary Space Science</w:t>
      </w:r>
      <w:r w:rsidR="00B34162" w:rsidRPr="00F1350C">
        <w:rPr>
          <w:rFonts w:ascii="Arial" w:eastAsia="Arial" w:hAnsi="Arial" w:cs="Arial"/>
        </w:rPr>
        <w:t>,</w:t>
      </w:r>
      <w:r w:rsidR="00B34162">
        <w:rPr>
          <w:rFonts w:ascii="Arial" w:eastAsia="Arial" w:hAnsi="Arial" w:cs="Arial"/>
        </w:rPr>
        <w:t xml:space="preserve"> </w:t>
      </w:r>
      <w:r w:rsidR="00B34162" w:rsidRPr="00F1350C">
        <w:rPr>
          <w:rFonts w:ascii="Arial" w:eastAsia="Arial" w:hAnsi="Arial" w:cs="Arial"/>
        </w:rPr>
        <w:t>Institute of Space and Astronautical Science,</w:t>
      </w:r>
      <w:r w:rsidR="00B34162">
        <w:rPr>
          <w:rFonts w:ascii="Arial" w:eastAsia="Arial" w:hAnsi="Arial" w:cs="Arial"/>
        </w:rPr>
        <w:t xml:space="preserve"> </w:t>
      </w:r>
      <w:r w:rsidR="00B34162" w:rsidRPr="00F1350C">
        <w:rPr>
          <w:rFonts w:ascii="Arial" w:eastAsia="Arial" w:hAnsi="Arial" w:cs="Arial"/>
        </w:rPr>
        <w:t>Japan Aerospace Exploration Agency</w:t>
      </w:r>
    </w:p>
    <w:p w14:paraId="1940D060" w14:textId="004DE443" w:rsidR="00F1350C" w:rsidRPr="00F1350C" w:rsidRDefault="00F1350C" w:rsidP="00F1350C">
      <w:pPr>
        <w:jc w:val="center"/>
        <w:rPr>
          <w:rFonts w:ascii="Arial" w:eastAsia="Arial" w:hAnsi="Arial" w:cs="Arial"/>
        </w:rPr>
      </w:pPr>
    </w:p>
    <w:p w14:paraId="35CB6FA4" w14:textId="77777777" w:rsidR="00F1350C" w:rsidRPr="00F1350C" w:rsidRDefault="00F1350C">
      <w:pPr>
        <w:jc w:val="center"/>
        <w:rPr>
          <w:rFonts w:ascii="Arial" w:eastAsia="Arial" w:hAnsi="Arial" w:cs="Arial"/>
        </w:rPr>
      </w:pPr>
    </w:p>
    <w:p w14:paraId="0000001E" w14:textId="30FE6E97" w:rsidR="00B21A38"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B34162">
        <w:rPr>
          <w:rFonts w:ascii="Arial" w:eastAsia="Arial" w:hAnsi="Arial" w:cs="Arial"/>
          <w:i/>
        </w:rPr>
        <w:t>rapid response</w:t>
      </w:r>
      <w:r>
        <w:rPr>
          <w:rFonts w:ascii="Arial" w:eastAsia="Arial" w:hAnsi="Arial" w:cs="Arial"/>
          <w:i/>
        </w:rPr>
        <w:t xml:space="preserve">, </w:t>
      </w:r>
      <w:r w:rsidR="00B34162">
        <w:rPr>
          <w:rFonts w:ascii="Arial" w:eastAsia="Arial" w:hAnsi="Arial" w:cs="Arial"/>
          <w:i/>
        </w:rPr>
        <w:t>planetary defense</w:t>
      </w:r>
      <w:r>
        <w:rPr>
          <w:rFonts w:ascii="Arial" w:eastAsia="Arial" w:hAnsi="Arial" w:cs="Arial"/>
          <w:i/>
        </w:rPr>
        <w:t xml:space="preserve">, </w:t>
      </w:r>
      <w:proofErr w:type="spellStart"/>
      <w:r w:rsidR="00B34162">
        <w:rPr>
          <w:rFonts w:ascii="Arial" w:eastAsia="Arial" w:hAnsi="Arial" w:cs="Arial"/>
          <w:i/>
        </w:rPr>
        <w:t>smallsat</w:t>
      </w:r>
      <w:proofErr w:type="spellEnd"/>
      <w:r>
        <w:rPr>
          <w:rFonts w:ascii="Arial" w:eastAsia="Arial" w:hAnsi="Arial" w:cs="Arial"/>
          <w:i/>
        </w:rPr>
        <w:t xml:space="preserve"> (maximum of 5)</w:t>
      </w:r>
    </w:p>
    <w:p w14:paraId="0000001F" w14:textId="77777777" w:rsidR="00B21A38" w:rsidRDefault="00B21A38">
      <w:pPr>
        <w:rPr>
          <w:rFonts w:ascii="Arial" w:eastAsia="Arial" w:hAnsi="Arial" w:cs="Arial"/>
        </w:rPr>
      </w:pPr>
    </w:p>
    <w:p w14:paraId="467484BC" w14:textId="77777777" w:rsidR="00B34162" w:rsidRPr="005D04F1" w:rsidRDefault="00B34162" w:rsidP="00B34162">
      <w:r w:rsidRPr="005D04F1">
        <w:lastRenderedPageBreak/>
        <w:t xml:space="preserve">The discovery of a new Near-Earth Object (NEO) with a significant probability of </w:t>
      </w:r>
      <w:r>
        <w:t xml:space="preserve">impacting the </w:t>
      </w:r>
      <w:r w:rsidRPr="005D04F1">
        <w:t xml:space="preserve">Earth will inevitably lead to </w:t>
      </w:r>
      <w:r>
        <w:t>threat mitigation strategies. T</w:t>
      </w:r>
      <w:r w:rsidRPr="005D04F1">
        <w:t>hree key questions</w:t>
      </w:r>
      <w:r>
        <w:t xml:space="preserve"> for threat mitigation are</w:t>
      </w:r>
      <w:r w:rsidRPr="005D04F1">
        <w:t>:</w:t>
      </w:r>
      <w:r>
        <w:t xml:space="preserve"> (</w:t>
      </w:r>
      <w:proofErr w:type="spellStart"/>
      <w:r>
        <w:t>i</w:t>
      </w:r>
      <w:proofErr w:type="spellEnd"/>
      <w:r>
        <w:t>) what is the probability that</w:t>
      </w:r>
      <w:r w:rsidRPr="005D04F1">
        <w:t xml:space="preserve"> the object impact</w:t>
      </w:r>
      <w:r>
        <w:t>s</w:t>
      </w:r>
      <w:r w:rsidRPr="005D04F1">
        <w:t xml:space="preserve"> the </w:t>
      </w:r>
      <w:proofErr w:type="gramStart"/>
      <w:r w:rsidRPr="005D04F1">
        <w:t>Earth?</w:t>
      </w:r>
      <w:r>
        <w:t>;</w:t>
      </w:r>
      <w:proofErr w:type="gramEnd"/>
      <w:r w:rsidRPr="005D04F1">
        <w:t xml:space="preserve"> </w:t>
      </w:r>
      <w:r>
        <w:t>(ii) I</w:t>
      </w:r>
      <w:r w:rsidRPr="005D04F1">
        <w:t>s the object large enough to threaten loss of life or property?</w:t>
      </w:r>
      <w:r>
        <w:t>; and</w:t>
      </w:r>
      <w:r w:rsidRPr="005D04F1">
        <w:t xml:space="preserve"> </w:t>
      </w:r>
      <w:r>
        <w:t xml:space="preserve">(iii) </w:t>
      </w:r>
      <w:r w:rsidRPr="005D04F1">
        <w:t xml:space="preserve">what are the key characteristics of the object required to plan a mitigation strategy and mission? </w:t>
      </w:r>
      <w:r>
        <w:t>Rapidly addressing these three questions maximizes the time available on the ground to mitigate the threat of an impact</w:t>
      </w:r>
      <w:r w:rsidRPr="005D04F1">
        <w:t>.</w:t>
      </w:r>
    </w:p>
    <w:p w14:paraId="7F14F7BC" w14:textId="77777777" w:rsidR="00B34162" w:rsidRPr="005D04F1" w:rsidRDefault="00B34162" w:rsidP="00B34162"/>
    <w:p w14:paraId="6270E686" w14:textId="77777777" w:rsidR="00B34162" w:rsidRPr="005D04F1" w:rsidRDefault="00B34162" w:rsidP="00B34162">
      <w:r w:rsidRPr="005D04F1">
        <w:t>The authors participated in a workshop</w:t>
      </w:r>
      <w:r w:rsidRPr="005D04F1">
        <w:rPr>
          <w:rStyle w:val="FootnoteReference"/>
        </w:rPr>
        <w:footnoteReference w:id="1"/>
      </w:r>
      <w:r w:rsidRPr="005D04F1">
        <w:t xml:space="preserve"> in October 2022 at the Keck Institute </w:t>
      </w:r>
      <w:r>
        <w:t>for</w:t>
      </w:r>
      <w:r w:rsidRPr="005D04F1">
        <w:t xml:space="preserve"> </w:t>
      </w:r>
      <w:r w:rsidRPr="005D04F1">
        <w:t xml:space="preserve">Space Studies (KISS) titled “Enabling Fast Response Missions to NEOs, ISOs, and LPCs” to identify promising mission concepts and technologies that would enable rapid response approaches to </w:t>
      </w:r>
      <w:r>
        <w:t xml:space="preserve">potentially hazardous asteroids (PHAs). </w:t>
      </w:r>
      <w:r w:rsidRPr="005D04F1">
        <w:t>Concepts</w:t>
      </w:r>
      <w:r>
        <w:t xml:space="preserve"> investigated</w:t>
      </w:r>
      <w:r w:rsidRPr="005D04F1">
        <w:t xml:space="preserve"> </w:t>
      </w:r>
      <w:r>
        <w:t>included</w:t>
      </w:r>
      <w:r w:rsidRPr="005D04F1">
        <w:t xml:space="preserve"> pre-designed systems ready to be implemented, pre-manufactured systems ready to be launched, and systems launched to various staging orbits ready to be tasked to reconnoiter a recently discovered </w:t>
      </w:r>
      <w:r>
        <w:t>object</w:t>
      </w:r>
      <w:r w:rsidRPr="005D04F1">
        <w:t xml:space="preserve">. </w:t>
      </w:r>
      <w:r>
        <w:t xml:space="preserve">Advantages and disadvantages of each concept were explored in detail in the published study. </w:t>
      </w:r>
    </w:p>
    <w:p w14:paraId="20488CDB" w14:textId="77777777" w:rsidR="00B34162" w:rsidRPr="005D04F1" w:rsidRDefault="00B34162" w:rsidP="00B34162"/>
    <w:p w14:paraId="1A506FCC" w14:textId="77777777" w:rsidR="00B34162" w:rsidRPr="005D04F1" w:rsidRDefault="00B34162" w:rsidP="00B34162">
      <w:pPr>
        <w:jc w:val="both"/>
      </w:pPr>
      <w:r w:rsidRPr="005D04F1">
        <w:t xml:space="preserve">The workshop study concluded that there are significant opportunities for partnerships between governments, </w:t>
      </w:r>
      <w:r>
        <w:t>traditional aerospace companies</w:t>
      </w:r>
      <w:r w:rsidRPr="005D04F1">
        <w:t xml:space="preserve">, and emerging aerospace entities.  </w:t>
      </w:r>
      <w:r>
        <w:t>Emerging</w:t>
      </w:r>
      <w:r w:rsidRPr="005D04F1">
        <w:t xml:space="preserve"> small spacecraft capabilities offer the potential to reduce cost and schedule significantly, but at the cost of lower payload mass and higher risk. Furthermore, while there are many concepts for rapid response</w:t>
      </w:r>
      <w:r>
        <w:t>,</w:t>
      </w:r>
      <w:r w:rsidRPr="005D04F1">
        <w:t xml:space="preserve"> there is no consensus approach to assessing proposed concepts. </w:t>
      </w:r>
      <w:r>
        <w:t>Rapid response concepts must</w:t>
      </w:r>
      <w:r w:rsidRPr="005D04F1">
        <w:t xml:space="preserve"> be capable of successfully encountering future identified potential PHAs and returning</w:t>
      </w:r>
      <w:r>
        <w:t xml:space="preserve"> key orbital properties (to determine impact probability and location) and</w:t>
      </w:r>
      <w:r w:rsidRPr="005D04F1">
        <w:t xml:space="preserve"> physical</w:t>
      </w:r>
      <w:r>
        <w:t xml:space="preserve"> properties (to inform mitigation techniques)</w:t>
      </w:r>
      <w:r w:rsidRPr="005D04F1">
        <w:t xml:space="preserve">. Additionally, implementable concepts also need to be demonstrably viable by fitting within programmatic constraints </w:t>
      </w:r>
      <w:r>
        <w:t xml:space="preserve">including but not limited to the </w:t>
      </w:r>
      <w:r w:rsidRPr="005D04F1">
        <w:t>cost, schedule, launch capabilities.</w:t>
      </w:r>
    </w:p>
    <w:p w14:paraId="1ADDAE77" w14:textId="77777777" w:rsidR="00B34162" w:rsidRPr="005D04F1" w:rsidRDefault="00B34162" w:rsidP="00B34162">
      <w:pPr>
        <w:jc w:val="both"/>
      </w:pPr>
      <w:r w:rsidRPr="005D04F1">
        <w:br/>
        <w:t xml:space="preserve">In this paper we describe the conclusions of the KISS workshop in October 2022, identify key technology gaps to enable the reconnaissance of PHAs, and propose an approach to assess the merit and feasibility of mission concepts for PHA reconnaissance. We also provide recommendations for future study of programmatic and technical requirements and constraints that may facilitate future, implementable mission concept development for rapid response reconnaissance. Finally, </w:t>
      </w:r>
      <w:r>
        <w:t>we</w:t>
      </w:r>
      <w:r w:rsidRPr="005D04F1">
        <w:t xml:space="preserve"> discuss how the development of this capability has feed-forward opportunities to explore long-period comets or interstellar objects, which have similar rapid-response requirements as PHAs.</w:t>
      </w:r>
    </w:p>
    <w:p w14:paraId="457ADE67" w14:textId="77777777" w:rsidR="00B34162" w:rsidRPr="005D04F1" w:rsidRDefault="00B34162" w:rsidP="00B34162"/>
    <w:p w14:paraId="15B2E0B9" w14:textId="77777777" w:rsidR="00B34162" w:rsidRPr="005D04F1" w:rsidRDefault="00B34162" w:rsidP="00B34162">
      <w:r w:rsidRPr="005D04F1">
        <w:t xml:space="preserve">Acknowledgements: We thank all the participants for their time, enthusiasm, and contributions to the workshop and the final report. We acknowledge critical support from the W. M. Keck Institute for Space Studies, and JPL/Caltech, under contract with NASA (80NM0018D0004). Finally, we thank Michele Judd, Janet Seid, and the KISS staff for their enthusiasm, dedication, and skill in planning and convening this workshop. </w:t>
      </w:r>
      <w:r w:rsidRPr="00565CBB">
        <w:t xml:space="preserve">D.Z.S. is supported by an NSF Astronomy and Astrophysics Postdoctoral Fellowship under award AST-2303553. This research award is partially funded by a generous gift of Charles Simonyi to the NSF Division of Astronomical Sciences.  The award is made in </w:t>
      </w:r>
      <w:r w:rsidRPr="00565CBB">
        <w:lastRenderedPageBreak/>
        <w:t>recognition of significant contributions to Rubin Observatory’s Legacy Survey of Space and Time.</w:t>
      </w:r>
    </w:p>
    <w:p w14:paraId="00000037" w14:textId="385CC233" w:rsidR="00B21A38" w:rsidRDefault="00B21A38">
      <w:pPr>
        <w:pBdr>
          <w:top w:val="nil"/>
          <w:left w:val="nil"/>
          <w:bottom w:val="nil"/>
          <w:right w:val="nil"/>
          <w:between w:val="nil"/>
        </w:pBdr>
        <w:jc w:val="both"/>
        <w:rPr>
          <w:rFonts w:ascii="Arial" w:eastAsia="Arial" w:hAnsi="Arial" w:cs="Arial"/>
          <w:i/>
          <w:color w:val="000000"/>
          <w:sz w:val="22"/>
          <w:szCs w:val="22"/>
        </w:rPr>
      </w:pPr>
    </w:p>
    <w:sectPr w:rsidR="00B21A38">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CA299" w14:textId="77777777" w:rsidR="0091060D" w:rsidRDefault="0091060D">
      <w:r>
        <w:separator/>
      </w:r>
    </w:p>
  </w:endnote>
  <w:endnote w:type="continuationSeparator" w:id="0">
    <w:p w14:paraId="6B378A52" w14:textId="77777777" w:rsidR="0091060D" w:rsidRDefault="00910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23355E67-D792-D849-B7A2-BEC8E72FA1EF}"/>
  </w:font>
  <w:font w:name="Courier New">
    <w:panose1 w:val="02070309020205020404"/>
    <w:charset w:val="00"/>
    <w:family w:val="modern"/>
    <w:pitch w:val="fixed"/>
    <w:sig w:usb0="E0002EFF" w:usb1="C0007843" w:usb2="00000009" w:usb3="00000000" w:csb0="000001FF" w:csb1="00000000"/>
    <w:embedRegular r:id="rId2" w:fontKey="{67E455D1-D5A3-2348-B3D8-382764DC7FD8}"/>
  </w:font>
  <w:font w:name="Cambria">
    <w:panose1 w:val="02040503050406030204"/>
    <w:charset w:val="00"/>
    <w:family w:val="roman"/>
    <w:pitch w:val="variable"/>
    <w:sig w:usb0="E00006FF" w:usb1="420024FF" w:usb2="02000000" w:usb3="00000000" w:csb0="0000019F" w:csb1="00000000"/>
    <w:embedRegular r:id="rId3" w:fontKey="{4C79A644-7644-984B-8C2B-9A8C03E0BB25}"/>
    <w:embedBold r:id="rId4" w:fontKey="{A2BA0B37-3E69-C448-95C0-5A3F0B3E6961}"/>
  </w:font>
  <w:font w:name="Times New Roman">
    <w:panose1 w:val="02020603050405020304"/>
    <w:charset w:val="00"/>
    <w:family w:val="roman"/>
    <w:pitch w:val="variable"/>
    <w:sig w:usb0="E0002EFF" w:usb1="C000785B" w:usb2="00000009" w:usb3="00000000" w:csb0="000001FF" w:csb1="00000000"/>
    <w:embedRegular r:id="rId5" w:fontKey="{34B401D9-CADD-7D40-BA42-238A3F0EF487}"/>
    <w:embedBold r:id="rId6" w:fontKey="{599238B2-6075-694C-B02D-09E002678A50}"/>
  </w:font>
  <w:font w:name="Georgia">
    <w:panose1 w:val="02040502050405020303"/>
    <w:charset w:val="00"/>
    <w:family w:val="roman"/>
    <w:pitch w:val="variable"/>
    <w:sig w:usb0="00000287" w:usb1="00000000" w:usb2="00000000" w:usb3="00000000" w:csb0="0000009F" w:csb1="00000000"/>
    <w:embedRegular r:id="rId7" w:fontKey="{9ABAD99F-1FAE-0848-9673-AB8130840620}"/>
    <w:embedItalic r:id="rId8" w:fontKey="{71DF71FE-0F46-A245-89C9-962E5F31DC48}"/>
  </w:font>
  <w:font w:name="Arial">
    <w:panose1 w:val="020B0604020202020204"/>
    <w:charset w:val="00"/>
    <w:family w:val="swiss"/>
    <w:pitch w:val="variable"/>
    <w:sig w:usb0="E0002EFF" w:usb1="C000785B" w:usb2="00000009" w:usb3="00000000" w:csb0="000001FF" w:csb1="00000000"/>
    <w:embedRegular r:id="rId9" w:fontKey="{D3C8506D-708E-6549-9DC1-8A7C21294D64}"/>
    <w:embedBold r:id="rId10" w:fontKey="{B20DC53B-98D7-3549-95C0-3FD9E5BF4D90}"/>
    <w:embedItalic r:id="rId11" w:fontKey="{8368092B-C040-5248-BF34-3425F9ECF1BA}"/>
    <w:embedBoldItalic r:id="rId12" w:fontKey="{28F179C6-2560-C849-8D5C-65C6A4569D5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4" w:fontKey="{67123B5A-A4EF-E041-8F08-4AC80E071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463EF8AB" w:rsidR="00B21A38"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3619E">
      <w:rPr>
        <w:rFonts w:ascii="Arial" w:eastAsia="Arial" w:hAnsi="Arial" w:cs="Arial"/>
        <w:noProof/>
        <w:color w:val="000000"/>
      </w:rPr>
      <w:t>1</w:t>
    </w:r>
    <w:r>
      <w:rPr>
        <w:rFonts w:ascii="Arial" w:eastAsia="Arial" w:hAnsi="Arial" w:cs="Arial"/>
        <w:color w:val="000000"/>
      </w:rPr>
      <w:fldChar w:fldCharType="end"/>
    </w:r>
  </w:p>
  <w:p w14:paraId="00000039" w14:textId="77777777" w:rsidR="00B21A38" w:rsidRDefault="00B21A3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266FA" w14:textId="77777777" w:rsidR="0091060D" w:rsidRDefault="0091060D">
      <w:r>
        <w:separator/>
      </w:r>
    </w:p>
  </w:footnote>
  <w:footnote w:type="continuationSeparator" w:id="0">
    <w:p w14:paraId="2300DD3B" w14:textId="77777777" w:rsidR="0091060D" w:rsidRDefault="0091060D">
      <w:r>
        <w:continuationSeparator/>
      </w:r>
    </w:p>
  </w:footnote>
  <w:footnote w:id="1">
    <w:p w14:paraId="34D7E2E8" w14:textId="77777777" w:rsidR="00B34162" w:rsidRDefault="00B34162" w:rsidP="00B34162">
      <w:pPr>
        <w:pStyle w:val="FootnoteText"/>
      </w:pPr>
      <w:r>
        <w:rPr>
          <w:rStyle w:val="FootnoteReference"/>
        </w:rPr>
        <w:footnoteRef/>
      </w:r>
      <w:r>
        <w:t xml:space="preserve"> </w:t>
      </w:r>
      <w:r w:rsidRPr="009F6CE8">
        <w:t>https://kiss.caltech.edu/workshops/FastResponse/FastResponse.html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C28B3"/>
    <w:multiLevelType w:val="multilevel"/>
    <w:tmpl w:val="2DDE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6190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A38"/>
    <w:rsid w:val="000659C7"/>
    <w:rsid w:val="001F5B13"/>
    <w:rsid w:val="0091060D"/>
    <w:rsid w:val="00B21A38"/>
    <w:rsid w:val="00B34162"/>
    <w:rsid w:val="00F1350C"/>
    <w:rsid w:val="00F3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97DB7E"/>
  <w15:docId w15:val="{2317D783-9E8C-A84B-AE75-E6F0CEF0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34162"/>
    <w:rPr>
      <w:sz w:val="16"/>
      <w:szCs w:val="16"/>
    </w:rPr>
  </w:style>
  <w:style w:type="paragraph" w:styleId="CommentText">
    <w:name w:val="annotation text"/>
    <w:basedOn w:val="Normal"/>
    <w:link w:val="CommentTextChar"/>
    <w:uiPriority w:val="99"/>
    <w:semiHidden/>
    <w:unhideWhenUsed/>
    <w:rsid w:val="00B34162"/>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semiHidden/>
    <w:rsid w:val="00B34162"/>
    <w:rPr>
      <w:rFonts w:asciiTheme="minorHAnsi" w:eastAsiaTheme="minorHAnsi" w:hAnsiTheme="minorHAnsi" w:cstheme="minorBidi"/>
      <w:kern w:val="2"/>
      <w:sz w:val="20"/>
      <w:szCs w:val="20"/>
      <w14:ligatures w14:val="standardContextual"/>
    </w:rPr>
  </w:style>
  <w:style w:type="paragraph" w:styleId="FootnoteText">
    <w:name w:val="footnote text"/>
    <w:basedOn w:val="Normal"/>
    <w:link w:val="FootnoteTextChar"/>
    <w:uiPriority w:val="99"/>
    <w:semiHidden/>
    <w:unhideWhenUsed/>
    <w:rsid w:val="00B34162"/>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B34162"/>
    <w:rPr>
      <w:rFonts w:asciiTheme="minorHAnsi" w:eastAsiaTheme="minorHAnsi" w:hAnsiTheme="minorHAnsi" w:cstheme="minorBidi"/>
      <w:kern w:val="2"/>
      <w:sz w:val="20"/>
      <w:szCs w:val="20"/>
      <w14:ligatures w14:val="standardContextual"/>
    </w:rPr>
  </w:style>
  <w:style w:type="character" w:styleId="FootnoteReference">
    <w:name w:val="footnote reference"/>
    <w:basedOn w:val="DefaultParagraphFont"/>
    <w:uiPriority w:val="99"/>
    <w:semiHidden/>
    <w:unhideWhenUsed/>
    <w:rsid w:val="00B341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3417088">
      <w:bodyDiv w:val="1"/>
      <w:marLeft w:val="0"/>
      <w:marRight w:val="0"/>
      <w:marTop w:val="0"/>
      <w:marBottom w:val="0"/>
      <w:divBdr>
        <w:top w:val="none" w:sz="0" w:space="0" w:color="auto"/>
        <w:left w:val="none" w:sz="0" w:space="0" w:color="auto"/>
        <w:bottom w:val="none" w:sz="0" w:space="0" w:color="auto"/>
        <w:right w:val="none" w:sz="0" w:space="0" w:color="auto"/>
      </w:divBdr>
    </w:div>
    <w:div w:id="1001667044">
      <w:bodyDiv w:val="1"/>
      <w:marLeft w:val="0"/>
      <w:marRight w:val="0"/>
      <w:marTop w:val="0"/>
      <w:marBottom w:val="0"/>
      <w:divBdr>
        <w:top w:val="none" w:sz="0" w:space="0" w:color="auto"/>
        <w:left w:val="none" w:sz="0" w:space="0" w:color="auto"/>
        <w:bottom w:val="none" w:sz="0" w:space="0" w:color="auto"/>
        <w:right w:val="none" w:sz="0" w:space="0" w:color="auto"/>
      </w:divBdr>
    </w:div>
    <w:div w:id="1389307283">
      <w:bodyDiv w:val="1"/>
      <w:marLeft w:val="0"/>
      <w:marRight w:val="0"/>
      <w:marTop w:val="0"/>
      <w:marBottom w:val="0"/>
      <w:divBdr>
        <w:top w:val="none" w:sz="0" w:space="0" w:color="auto"/>
        <w:left w:val="none" w:sz="0" w:space="0" w:color="auto"/>
        <w:bottom w:val="none" w:sz="0" w:space="0" w:color="auto"/>
        <w:right w:val="none" w:sz="0" w:space="0" w:color="auto"/>
      </w:divBdr>
    </w:div>
    <w:div w:id="1861696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Donitz, Benjamin P (US 312D)</cp:lastModifiedBy>
  <cp:revision>2</cp:revision>
  <dcterms:created xsi:type="dcterms:W3CDTF">2024-11-18T23:52:00Z</dcterms:created>
  <dcterms:modified xsi:type="dcterms:W3CDTF">2024-11-18T23:52:00Z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