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37AFA" w:rsidRDefault="00000000">
      <w:pPr>
        <w:jc w:val="center"/>
        <w:rPr>
          <w:rFonts w:ascii="Arial" w:eastAsia="Arial" w:hAnsi="Arial" w:cs="Arial"/>
          <w:b/>
        </w:rPr>
      </w:pPr>
      <w:r>
        <w:rPr>
          <w:rFonts w:ascii="Arial" w:eastAsia="Arial" w:hAnsi="Arial" w:cs="Arial"/>
          <w:b/>
        </w:rPr>
        <w:t>PDC2025</w:t>
      </w:r>
    </w:p>
    <w:p w14:paraId="00000002" w14:textId="77777777" w:rsidR="00B37AFA" w:rsidRDefault="00000000">
      <w:pPr>
        <w:jc w:val="center"/>
        <w:rPr>
          <w:rFonts w:ascii="Arial" w:eastAsia="Arial" w:hAnsi="Arial" w:cs="Arial"/>
          <w:b/>
        </w:rPr>
      </w:pPr>
      <w:r>
        <w:rPr>
          <w:rFonts w:ascii="Arial" w:eastAsia="Arial" w:hAnsi="Arial" w:cs="Arial"/>
          <w:b/>
        </w:rPr>
        <w:t>Stellenbosch, Cape Town, South Africa</w:t>
      </w:r>
    </w:p>
    <w:p w14:paraId="00000003" w14:textId="77777777" w:rsidR="00B37AFA" w:rsidRDefault="00B37AFA">
      <w:pPr>
        <w:jc w:val="center"/>
        <w:rPr>
          <w:rFonts w:ascii="Arial" w:eastAsia="Arial" w:hAnsi="Arial" w:cs="Arial"/>
          <w:b/>
        </w:rPr>
      </w:pPr>
    </w:p>
    <w:p w14:paraId="00000004" w14:textId="77777777" w:rsidR="00B37AFA" w:rsidRDefault="00B37AFA">
      <w:pPr>
        <w:jc w:val="center"/>
        <w:rPr>
          <w:rFonts w:ascii="Arial" w:eastAsia="Arial" w:hAnsi="Arial" w:cs="Arial"/>
          <w:b/>
        </w:rPr>
      </w:pPr>
    </w:p>
    <w:p w14:paraId="00000005" w14:textId="77777777" w:rsidR="00B37AFA" w:rsidRDefault="00000000">
      <w:pPr>
        <w:jc w:val="center"/>
        <w:rPr>
          <w:rFonts w:ascii="Arial" w:eastAsia="Arial" w:hAnsi="Arial" w:cs="Arial"/>
          <w:i/>
        </w:rPr>
      </w:pPr>
      <w:r>
        <w:rPr>
          <w:rFonts w:ascii="Arial" w:eastAsia="Arial" w:hAnsi="Arial" w:cs="Arial"/>
          <w:i/>
        </w:rPr>
        <w:t xml:space="preserve">Please submit your abstract at </w:t>
      </w:r>
      <w:hyperlink r:id="rId7">
        <w:r>
          <w:rPr>
            <w:rFonts w:ascii="Arial" w:eastAsia="Arial" w:hAnsi="Arial" w:cs="Arial"/>
            <w:i/>
            <w:color w:val="0000FF"/>
            <w:u w:val="single"/>
          </w:rPr>
          <w:t>https://iaaspace.org/pdc</w:t>
        </w:r>
      </w:hyperlink>
      <w:r>
        <w:rPr>
          <w:rFonts w:ascii="Arial" w:eastAsia="Arial" w:hAnsi="Arial" w:cs="Arial"/>
          <w:i/>
        </w:rPr>
        <w:t>.</w:t>
      </w:r>
    </w:p>
    <w:p w14:paraId="00000006" w14:textId="77777777" w:rsidR="00B37AFA" w:rsidRDefault="00B37AFA">
      <w:pPr>
        <w:jc w:val="center"/>
        <w:rPr>
          <w:rFonts w:ascii="Arial" w:eastAsia="Arial" w:hAnsi="Arial" w:cs="Arial"/>
          <w:b/>
        </w:rPr>
      </w:pPr>
    </w:p>
    <w:p w14:paraId="00000007" w14:textId="77777777" w:rsidR="00B37AFA" w:rsidRDefault="00000000">
      <w:pPr>
        <w:jc w:val="center"/>
        <w:rPr>
          <w:rFonts w:ascii="Arial" w:eastAsia="Arial" w:hAnsi="Arial" w:cs="Arial"/>
          <w:i/>
        </w:rPr>
      </w:pPr>
      <w:r>
        <w:rPr>
          <w:rFonts w:ascii="Arial" w:eastAsia="Arial" w:hAnsi="Arial" w:cs="Arial"/>
          <w:i/>
        </w:rPr>
        <w:t>(please select the topic that best fits your abstract from the list below)</w:t>
      </w:r>
    </w:p>
    <w:p w14:paraId="00000008" w14:textId="77777777" w:rsidR="00B37AFA" w:rsidRDefault="00000000">
      <w:pPr>
        <w:jc w:val="center"/>
        <w:rPr>
          <w:rFonts w:ascii="Arial" w:eastAsia="Arial" w:hAnsi="Arial" w:cs="Arial"/>
          <w:i/>
        </w:rPr>
      </w:pPr>
      <w:r>
        <w:rPr>
          <w:rFonts w:ascii="Arial" w:eastAsia="Arial" w:hAnsi="Arial" w:cs="Arial"/>
          <w:i/>
        </w:rPr>
        <w:t>(you may also add a general comment - see end of this document)</w:t>
      </w:r>
    </w:p>
    <w:p w14:paraId="00000009" w14:textId="77777777" w:rsidR="00B37AFA" w:rsidRDefault="00B37AFA">
      <w:pPr>
        <w:jc w:val="center"/>
        <w:rPr>
          <w:rFonts w:ascii="Arial" w:eastAsia="Arial" w:hAnsi="Arial" w:cs="Arial"/>
          <w:i/>
        </w:rPr>
      </w:pPr>
    </w:p>
    <w:p w14:paraId="0000000A" w14:textId="77777777" w:rsidR="00B37AFA" w:rsidRDefault="00000000">
      <w:pPr>
        <w:rPr>
          <w:rFonts w:ascii="Arial" w:eastAsia="Arial" w:hAnsi="Arial" w:cs="Arial"/>
          <w:b/>
        </w:rPr>
      </w:pPr>
      <w:bookmarkStart w:id="0" w:name="gjdgxs" w:colFirst="0" w:colLast="0"/>
      <w:bookmarkEnd w:id="0"/>
      <w:r>
        <w:rPr>
          <w:rFonts w:ascii="Arial" w:eastAsia="Arial" w:hAnsi="Arial" w:cs="Arial"/>
          <w:b/>
        </w:rPr>
        <w:t>☐ Ongoing and Upcoming Mission Highlights</w:t>
      </w:r>
    </w:p>
    <w:p w14:paraId="0000000B" w14:textId="77777777" w:rsidR="00B37AFA" w:rsidRDefault="00000000">
      <w:pPr>
        <w:rPr>
          <w:rFonts w:ascii="Arial" w:eastAsia="Arial" w:hAnsi="Arial" w:cs="Arial"/>
          <w:b/>
        </w:rPr>
      </w:pPr>
      <w:r>
        <w:rPr>
          <w:rFonts w:ascii="Arial" w:eastAsia="Arial" w:hAnsi="Arial" w:cs="Arial"/>
          <w:b/>
        </w:rPr>
        <w:t>☐ Apophis: T-4 Years</w:t>
      </w:r>
    </w:p>
    <w:p w14:paraId="0000000C" w14:textId="77777777" w:rsidR="00B37AFA" w:rsidRDefault="00000000">
      <w:pPr>
        <w:rPr>
          <w:rFonts w:ascii="Arial" w:eastAsia="Arial" w:hAnsi="Arial" w:cs="Arial"/>
          <w:b/>
        </w:rPr>
      </w:pPr>
      <w:r>
        <w:rPr>
          <w:rFonts w:ascii="Arial" w:eastAsia="Arial" w:hAnsi="Arial" w:cs="Arial"/>
          <w:b/>
        </w:rPr>
        <w:t>☐ Hypothetical Asteroid Threat Exercise</w:t>
      </w:r>
    </w:p>
    <w:p w14:paraId="0000000D" w14:textId="77777777" w:rsidR="00B37AFA" w:rsidRDefault="00000000">
      <w:pPr>
        <w:rPr>
          <w:rFonts w:ascii="Arial" w:eastAsia="Arial" w:hAnsi="Arial" w:cs="Arial"/>
          <w:b/>
        </w:rPr>
      </w:pPr>
      <w:r>
        <w:rPr>
          <w:rFonts w:ascii="Arial" w:eastAsia="Arial" w:hAnsi="Arial" w:cs="Arial"/>
          <w:b/>
        </w:rPr>
        <w:t>☐ Key International and Policy Developments</w:t>
      </w:r>
    </w:p>
    <w:p w14:paraId="0000000E" w14:textId="77777777" w:rsidR="00B37AFA" w:rsidRDefault="00000000">
      <w:pPr>
        <w:rPr>
          <w:rFonts w:ascii="Arial" w:eastAsia="Arial" w:hAnsi="Arial" w:cs="Arial"/>
          <w:b/>
        </w:rPr>
      </w:pPr>
      <w:r>
        <w:rPr>
          <w:rFonts w:ascii="Arial" w:eastAsia="Arial" w:hAnsi="Arial" w:cs="Arial"/>
          <w:b/>
        </w:rPr>
        <w:t>☐ Near-Earth Object (NEO) Discovery</w:t>
      </w:r>
    </w:p>
    <w:p w14:paraId="0000000F" w14:textId="77777777" w:rsidR="00B37AFA" w:rsidRDefault="00000000">
      <w:pPr>
        <w:rPr>
          <w:rFonts w:ascii="Arial" w:eastAsia="Arial" w:hAnsi="Arial" w:cs="Arial"/>
          <w:b/>
        </w:rPr>
      </w:pPr>
      <w:r>
        <w:rPr>
          <w:rFonts w:ascii="Arial" w:eastAsia="Arial" w:hAnsi="Arial" w:cs="Arial"/>
          <w:b/>
        </w:rPr>
        <w:t>☐ NEO Characterization</w:t>
      </w:r>
    </w:p>
    <w:p w14:paraId="00000010" w14:textId="77777777" w:rsidR="00B37AFA" w:rsidRDefault="00000000">
      <w:pPr>
        <w:rPr>
          <w:rFonts w:ascii="Arial" w:eastAsia="Arial" w:hAnsi="Arial" w:cs="Arial"/>
          <w:b/>
        </w:rPr>
      </w:pPr>
      <w:r>
        <w:rPr>
          <w:rFonts w:ascii="Arial" w:eastAsia="Arial" w:hAnsi="Arial" w:cs="Arial"/>
          <w:b/>
        </w:rPr>
        <w:t>☐ Deflection / Disruption Modeling &amp; Testing</w:t>
      </w:r>
    </w:p>
    <w:p w14:paraId="00000011" w14:textId="77777777" w:rsidR="00B37AFA" w:rsidRDefault="00000000">
      <w:pPr>
        <w:rPr>
          <w:rFonts w:ascii="Arial" w:eastAsia="Arial" w:hAnsi="Arial" w:cs="Arial"/>
          <w:b/>
        </w:rPr>
      </w:pPr>
      <w:r>
        <w:rPr>
          <w:rFonts w:ascii="Arial" w:eastAsia="Arial" w:hAnsi="Arial" w:cs="Arial"/>
          <w:b/>
        </w:rPr>
        <w:t>☐ Space Mission &amp; Campaign Design</w:t>
      </w:r>
    </w:p>
    <w:p w14:paraId="00000012" w14:textId="77777777" w:rsidR="00B37AFA" w:rsidRDefault="00000000">
      <w:pPr>
        <w:rPr>
          <w:rFonts w:ascii="Arial" w:eastAsia="Arial" w:hAnsi="Arial" w:cs="Arial"/>
          <w:b/>
        </w:rPr>
      </w:pPr>
      <w:r>
        <w:rPr>
          <w:rFonts w:ascii="Arial" w:eastAsia="Arial" w:hAnsi="Arial" w:cs="Arial"/>
          <w:b/>
        </w:rPr>
        <w:t>☐ Earth Impact Effects &amp; Consequences</w:t>
      </w:r>
    </w:p>
    <w:p w14:paraId="00000013" w14:textId="77777777" w:rsidR="00B37AFA" w:rsidRDefault="00000000">
      <w:pPr>
        <w:rPr>
          <w:rFonts w:ascii="Arial" w:eastAsia="Arial" w:hAnsi="Arial" w:cs="Arial"/>
          <w:b/>
        </w:rPr>
      </w:pPr>
      <w:r>
        <w:rPr>
          <w:rFonts w:ascii="Arial" w:eastAsia="Arial" w:hAnsi="Arial" w:cs="Arial"/>
          <w:b/>
        </w:rPr>
        <w:t>☐ Disaster Management &amp; Impact Response</w:t>
      </w:r>
    </w:p>
    <w:p w14:paraId="00000014" w14:textId="77777777" w:rsidR="00B37AFA" w:rsidRDefault="00000000">
      <w:pPr>
        <w:rPr>
          <w:rFonts w:ascii="Arial" w:eastAsia="Arial" w:hAnsi="Arial" w:cs="Arial"/>
          <w:b/>
        </w:rPr>
      </w:pPr>
      <w:r w:rsidRPr="00865D31">
        <w:rPr>
          <w:rFonts w:ascii="Arial" w:eastAsia="Arial" w:hAnsi="Arial" w:cs="Arial"/>
          <w:b/>
          <w:highlight w:val="green"/>
        </w:rPr>
        <w:t>☐ Public Education and Communication</w:t>
      </w:r>
    </w:p>
    <w:p w14:paraId="00000015" w14:textId="77777777" w:rsidR="00B37AFA" w:rsidRDefault="00000000">
      <w:pPr>
        <w:rPr>
          <w:rFonts w:ascii="Arial" w:eastAsia="Arial" w:hAnsi="Arial" w:cs="Arial"/>
          <w:b/>
        </w:rPr>
      </w:pPr>
      <w:r w:rsidRPr="00865D31">
        <w:rPr>
          <w:rFonts w:ascii="Arial" w:eastAsia="Arial" w:hAnsi="Arial" w:cs="Arial"/>
          <w:b/>
        </w:rPr>
        <w:t>☐ The Decision to Act: Political, Legal, Social, and Economic Aspects</w:t>
      </w:r>
    </w:p>
    <w:p w14:paraId="00000016" w14:textId="77777777" w:rsidR="00B37AFA" w:rsidRDefault="00B37AFA">
      <w:pPr>
        <w:jc w:val="center"/>
        <w:rPr>
          <w:rFonts w:ascii="Arial" w:eastAsia="Arial" w:hAnsi="Arial" w:cs="Arial"/>
          <w:b/>
        </w:rPr>
      </w:pPr>
    </w:p>
    <w:p w14:paraId="00000017" w14:textId="77777777" w:rsidR="00B37AFA" w:rsidRDefault="00B37AFA">
      <w:pPr>
        <w:jc w:val="center"/>
        <w:rPr>
          <w:rFonts w:ascii="Arial" w:eastAsia="Arial" w:hAnsi="Arial" w:cs="Arial"/>
          <w:b/>
        </w:rPr>
      </w:pPr>
    </w:p>
    <w:p w14:paraId="00078F41" w14:textId="77777777" w:rsidR="00B84EF3" w:rsidRDefault="00B84EF3">
      <w:pPr>
        <w:jc w:val="center"/>
        <w:rPr>
          <w:rFonts w:ascii="Arial" w:eastAsia="Arial" w:hAnsi="Arial" w:cs="Arial"/>
          <w:b/>
        </w:rPr>
      </w:pPr>
    </w:p>
    <w:p w14:paraId="128DF763" w14:textId="77777777" w:rsidR="00B84EF3" w:rsidRDefault="00B84EF3">
      <w:pPr>
        <w:jc w:val="center"/>
        <w:rPr>
          <w:rFonts w:ascii="Arial" w:eastAsia="Arial" w:hAnsi="Arial" w:cs="Arial"/>
          <w:b/>
        </w:rPr>
      </w:pPr>
    </w:p>
    <w:p w14:paraId="00000018" w14:textId="35FF1ADE" w:rsidR="00B37AFA" w:rsidRDefault="00865D31">
      <w:pPr>
        <w:jc w:val="center"/>
        <w:rPr>
          <w:rFonts w:ascii="Arial" w:eastAsia="Arial" w:hAnsi="Arial" w:cs="Arial"/>
          <w:b/>
        </w:rPr>
      </w:pPr>
      <w:r w:rsidRPr="00865D31">
        <w:rPr>
          <w:rFonts w:ascii="Arial" w:eastAsia="Arial" w:hAnsi="Arial" w:cs="Arial"/>
          <w:b/>
        </w:rPr>
        <w:t>Developing a “Planetary Defense Decisionmaker Guide”</w:t>
      </w:r>
    </w:p>
    <w:p w14:paraId="00000019" w14:textId="77777777" w:rsidR="00B37AFA" w:rsidRDefault="00B37AFA">
      <w:pPr>
        <w:rPr>
          <w:rFonts w:ascii="Arial" w:eastAsia="Arial" w:hAnsi="Arial" w:cs="Arial"/>
          <w:b/>
        </w:rPr>
      </w:pPr>
    </w:p>
    <w:p w14:paraId="0000001A" w14:textId="1F01B862" w:rsidR="00B37AFA" w:rsidRDefault="005805D5">
      <w:pPr>
        <w:jc w:val="center"/>
        <w:rPr>
          <w:rFonts w:ascii="Arial" w:eastAsia="Arial" w:hAnsi="Arial" w:cs="Arial"/>
          <w:b/>
        </w:rPr>
      </w:pPr>
      <w:r>
        <w:rPr>
          <w:rFonts w:ascii="Arial" w:eastAsia="Arial" w:hAnsi="Arial" w:cs="Arial"/>
          <w:b/>
        </w:rPr>
        <w:t>Jan Osburg</w:t>
      </w:r>
    </w:p>
    <w:p w14:paraId="0000001B" w14:textId="06DD3552" w:rsidR="00B37AFA" w:rsidRDefault="00045787">
      <w:pPr>
        <w:jc w:val="center"/>
        <w:rPr>
          <w:rFonts w:ascii="Arial" w:eastAsia="Arial" w:hAnsi="Arial" w:cs="Arial"/>
          <w:i/>
        </w:rPr>
      </w:pPr>
      <w:r>
        <w:rPr>
          <w:rFonts w:ascii="Arial" w:eastAsia="Arial" w:hAnsi="Arial" w:cs="Arial"/>
          <w:i/>
        </w:rPr>
        <w:t xml:space="preserve">The RAND Corporation, Santa Monica, CA, USA. </w:t>
      </w:r>
      <w:hyperlink r:id="rId8" w:history="1">
        <w:r w:rsidRPr="0027736B">
          <w:rPr>
            <w:rStyle w:val="Hyperlink"/>
            <w:rFonts w:ascii="Arial" w:eastAsia="Arial" w:hAnsi="Arial" w:cs="Arial"/>
            <w:i/>
          </w:rPr>
          <w:t>josburg@rand.org</w:t>
        </w:r>
      </w:hyperlink>
      <w:r>
        <w:rPr>
          <w:rFonts w:ascii="Arial" w:eastAsia="Arial" w:hAnsi="Arial" w:cs="Arial"/>
          <w:i/>
        </w:rPr>
        <w:t xml:space="preserve"> </w:t>
      </w:r>
    </w:p>
    <w:p w14:paraId="0000001D" w14:textId="77777777" w:rsidR="00B37AFA" w:rsidRDefault="00B37AFA">
      <w:pPr>
        <w:jc w:val="center"/>
        <w:rPr>
          <w:rFonts w:ascii="Arial" w:eastAsia="Arial" w:hAnsi="Arial" w:cs="Arial"/>
        </w:rPr>
      </w:pPr>
    </w:p>
    <w:p w14:paraId="0000001E" w14:textId="0212019B" w:rsidR="00B37AFA" w:rsidRDefault="00000000">
      <w:pPr>
        <w:jc w:val="both"/>
        <w:rPr>
          <w:rFonts w:ascii="Arial" w:eastAsia="Arial" w:hAnsi="Arial" w:cs="Arial"/>
          <w:i/>
        </w:rPr>
      </w:pPr>
      <w:r>
        <w:rPr>
          <w:rFonts w:ascii="Arial" w:eastAsia="Arial" w:hAnsi="Arial" w:cs="Arial"/>
          <w:b/>
          <w:i/>
        </w:rPr>
        <w:t>Keywords:</w:t>
      </w:r>
      <w:r>
        <w:rPr>
          <w:rFonts w:ascii="Arial" w:eastAsia="Arial" w:hAnsi="Arial" w:cs="Arial"/>
          <w:i/>
        </w:rPr>
        <w:t xml:space="preserve"> </w:t>
      </w:r>
      <w:r w:rsidR="00045787">
        <w:rPr>
          <w:rFonts w:ascii="Arial" w:eastAsia="Arial" w:hAnsi="Arial" w:cs="Arial"/>
          <w:i/>
        </w:rPr>
        <w:t xml:space="preserve">Planetary Defense, </w:t>
      </w:r>
      <w:r w:rsidR="00D96A17">
        <w:rPr>
          <w:rFonts w:ascii="Arial" w:eastAsia="Arial" w:hAnsi="Arial" w:cs="Arial"/>
          <w:i/>
        </w:rPr>
        <w:t>emergency communication, space education</w:t>
      </w:r>
    </w:p>
    <w:p w14:paraId="0000001F" w14:textId="77777777" w:rsidR="00B37AFA" w:rsidRDefault="00B37AFA">
      <w:pPr>
        <w:rPr>
          <w:rFonts w:ascii="Arial" w:eastAsia="Arial" w:hAnsi="Arial" w:cs="Arial"/>
        </w:rPr>
      </w:pPr>
    </w:p>
    <w:p w14:paraId="4B89A1A5" w14:textId="2C5F1100" w:rsidR="00865D31" w:rsidRDefault="00865D31" w:rsidP="00865D31">
      <w:pPr>
        <w:pBdr>
          <w:top w:val="nil"/>
          <w:left w:val="nil"/>
          <w:bottom w:val="nil"/>
          <w:right w:val="nil"/>
          <w:between w:val="nil"/>
        </w:pBdr>
        <w:jc w:val="both"/>
        <w:rPr>
          <w:rFonts w:ascii="Arial" w:eastAsia="Arial" w:hAnsi="Arial" w:cs="Arial"/>
          <w:color w:val="000000"/>
        </w:rPr>
      </w:pPr>
      <w:r w:rsidRPr="00865D31">
        <w:rPr>
          <w:rFonts w:ascii="Arial" w:eastAsia="Arial" w:hAnsi="Arial" w:cs="Arial"/>
          <w:color w:val="000000"/>
        </w:rPr>
        <w:t>How to detect and deflect asteroids and comets that threaten to impact Earth, and how to mitigate the consequences should an impact be unavoidable, is a vital but complex topic that touches on multiple disciplines, involves multiple stakeholders, and presents multiple options to decisionmakers. Related issues have been extensively researched for many years and a large number of papers, reports, and other references exist, but key findings, insights, and recommendations have so far not been pulled together into a single place in an easily-accessible</w:t>
      </w:r>
      <w:r w:rsidR="000F0A1B">
        <w:rPr>
          <w:rFonts w:ascii="Arial" w:eastAsia="Arial" w:hAnsi="Arial" w:cs="Arial"/>
          <w:color w:val="000000"/>
        </w:rPr>
        <w:t xml:space="preserve"> </w:t>
      </w:r>
      <w:r w:rsidRPr="00865D31">
        <w:rPr>
          <w:rFonts w:ascii="Arial" w:eastAsia="Arial" w:hAnsi="Arial" w:cs="Arial"/>
          <w:color w:val="000000"/>
        </w:rPr>
        <w:t xml:space="preserve">format. </w:t>
      </w:r>
    </w:p>
    <w:p w14:paraId="445658B3" w14:textId="77777777" w:rsidR="00865D31" w:rsidRPr="00865D31" w:rsidRDefault="00865D31" w:rsidP="00865D31">
      <w:pPr>
        <w:pBdr>
          <w:top w:val="nil"/>
          <w:left w:val="nil"/>
          <w:bottom w:val="nil"/>
          <w:right w:val="nil"/>
          <w:between w:val="nil"/>
        </w:pBdr>
        <w:jc w:val="both"/>
        <w:rPr>
          <w:rFonts w:ascii="Arial" w:eastAsia="Arial" w:hAnsi="Arial" w:cs="Arial"/>
          <w:color w:val="000000"/>
        </w:rPr>
      </w:pPr>
    </w:p>
    <w:p w14:paraId="7A0B06BD" w14:textId="77777777" w:rsidR="00865D31" w:rsidRDefault="00865D31" w:rsidP="00865D31">
      <w:pPr>
        <w:pBdr>
          <w:top w:val="nil"/>
          <w:left w:val="nil"/>
          <w:bottom w:val="nil"/>
          <w:right w:val="nil"/>
          <w:between w:val="nil"/>
        </w:pBdr>
        <w:jc w:val="both"/>
        <w:rPr>
          <w:rFonts w:ascii="Arial" w:eastAsia="Arial" w:hAnsi="Arial" w:cs="Arial"/>
          <w:color w:val="000000"/>
        </w:rPr>
      </w:pPr>
      <w:r w:rsidRPr="00865D31">
        <w:rPr>
          <w:rFonts w:ascii="Arial" w:eastAsia="Arial" w:hAnsi="Arial" w:cs="Arial"/>
          <w:color w:val="000000"/>
        </w:rPr>
        <w:t>While many senior government officials in the U.S. and Europe have direct access to dedicated Planetary Defense subject matter experts who can answer their questions and inform their decisionmaking, especially in case of a short-notice Planetary Defense emergency, most leaders around the globe do not have that luxury, and neither do most industry executives, media (and social media) representatives, civil society leaders, and others who will have to “get smart” on the topic quickly in order to save lives and protect assets.</w:t>
      </w:r>
    </w:p>
    <w:p w14:paraId="68D1C21D" w14:textId="77777777" w:rsidR="00865D31" w:rsidRPr="00865D31" w:rsidRDefault="00865D31" w:rsidP="00865D31">
      <w:pPr>
        <w:pBdr>
          <w:top w:val="nil"/>
          <w:left w:val="nil"/>
          <w:bottom w:val="nil"/>
          <w:right w:val="nil"/>
          <w:between w:val="nil"/>
        </w:pBdr>
        <w:jc w:val="both"/>
        <w:rPr>
          <w:rFonts w:ascii="Arial" w:eastAsia="Arial" w:hAnsi="Arial" w:cs="Arial"/>
          <w:color w:val="000000"/>
        </w:rPr>
      </w:pPr>
    </w:p>
    <w:p w14:paraId="140E6BA9" w14:textId="77777777" w:rsidR="00865D31" w:rsidRDefault="00865D31" w:rsidP="00865D31">
      <w:pPr>
        <w:pBdr>
          <w:top w:val="nil"/>
          <w:left w:val="nil"/>
          <w:bottom w:val="nil"/>
          <w:right w:val="nil"/>
          <w:between w:val="nil"/>
        </w:pBdr>
        <w:jc w:val="both"/>
        <w:rPr>
          <w:rFonts w:ascii="Arial" w:eastAsia="Arial" w:hAnsi="Arial" w:cs="Arial"/>
          <w:color w:val="000000"/>
        </w:rPr>
      </w:pPr>
      <w:r w:rsidRPr="00865D31">
        <w:rPr>
          <w:rFonts w:ascii="Arial" w:eastAsia="Arial" w:hAnsi="Arial" w:cs="Arial"/>
          <w:color w:val="000000"/>
        </w:rPr>
        <w:lastRenderedPageBreak/>
        <w:t>Decisionmakers both in the US and among our allies and partners will therefore benefit from having a compact yet comprehensive reference available, written in plain language, that helps them understand the key issues, discusses what can be done now, and outlines what the options are once a specific threat materializes. Such a document would directly support Goal 4.1 (“engage and inform foreign governments”) of the 2023 U.S. National Preparedness Strategy and Action Plan for Near-Earth Object Hazards and Planetary Defense, as well as Goal 5.3 (“develop and share informational material for different audiences”) and Goal 8.2 (“enhance leadership messaging of planetary defense”) of the 2023 NASA Planetary Defense Strategy and Action Plan.</w:t>
      </w:r>
    </w:p>
    <w:p w14:paraId="69073EA0" w14:textId="77777777" w:rsidR="00865D31" w:rsidRPr="00865D31" w:rsidRDefault="00865D31" w:rsidP="00865D31">
      <w:pPr>
        <w:pBdr>
          <w:top w:val="nil"/>
          <w:left w:val="nil"/>
          <w:bottom w:val="nil"/>
          <w:right w:val="nil"/>
          <w:between w:val="nil"/>
        </w:pBdr>
        <w:jc w:val="both"/>
        <w:rPr>
          <w:rFonts w:ascii="Arial" w:eastAsia="Arial" w:hAnsi="Arial" w:cs="Arial"/>
          <w:color w:val="000000"/>
        </w:rPr>
      </w:pPr>
    </w:p>
    <w:p w14:paraId="0844F48F" w14:textId="44EA6F2A" w:rsidR="00865D31" w:rsidRDefault="00865D31" w:rsidP="00865D31">
      <w:pPr>
        <w:pBdr>
          <w:top w:val="nil"/>
          <w:left w:val="nil"/>
          <w:bottom w:val="nil"/>
          <w:right w:val="nil"/>
          <w:between w:val="nil"/>
        </w:pBdr>
        <w:jc w:val="both"/>
        <w:rPr>
          <w:rFonts w:ascii="Arial" w:eastAsia="Arial" w:hAnsi="Arial" w:cs="Arial"/>
          <w:color w:val="000000"/>
        </w:rPr>
      </w:pPr>
      <w:r w:rsidRPr="00865D31">
        <w:rPr>
          <w:rFonts w:ascii="Arial" w:eastAsia="Arial" w:hAnsi="Arial" w:cs="Arial"/>
          <w:color w:val="000000"/>
        </w:rPr>
        <w:t xml:space="preserve">One example for this kind of resource is the “Planetary Defense Decisionmaker Guide” and its associated “Planetary Defense Pocket Reference” that the author has developed over the course of the past several years, </w:t>
      </w:r>
      <w:r>
        <w:rPr>
          <w:rFonts w:ascii="Arial" w:eastAsia="Arial" w:hAnsi="Arial" w:cs="Arial"/>
          <w:color w:val="000000"/>
        </w:rPr>
        <w:t xml:space="preserve">a draft of which </w:t>
      </w:r>
      <w:r w:rsidRPr="00865D31">
        <w:rPr>
          <w:rFonts w:ascii="Arial" w:eastAsia="Arial" w:hAnsi="Arial" w:cs="Arial"/>
          <w:color w:val="000000"/>
        </w:rPr>
        <w:t>was first distributed in support of the exercise at the Planetary Defense Conference 2023 in Vienna.</w:t>
      </w:r>
    </w:p>
    <w:p w14:paraId="035C87BF" w14:textId="77777777" w:rsidR="00865D31" w:rsidRPr="00865D31" w:rsidRDefault="00865D31" w:rsidP="00865D31">
      <w:pPr>
        <w:pBdr>
          <w:top w:val="nil"/>
          <w:left w:val="nil"/>
          <w:bottom w:val="nil"/>
          <w:right w:val="nil"/>
          <w:between w:val="nil"/>
        </w:pBdr>
        <w:jc w:val="both"/>
        <w:rPr>
          <w:rFonts w:ascii="Arial" w:eastAsia="Arial" w:hAnsi="Arial" w:cs="Arial"/>
          <w:color w:val="000000"/>
        </w:rPr>
      </w:pPr>
    </w:p>
    <w:p w14:paraId="00000030" w14:textId="5866D456" w:rsidR="00B37AFA" w:rsidRDefault="00865D31" w:rsidP="00865D31">
      <w:pPr>
        <w:pBdr>
          <w:top w:val="nil"/>
          <w:left w:val="nil"/>
          <w:bottom w:val="nil"/>
          <w:right w:val="nil"/>
          <w:between w:val="nil"/>
        </w:pBdr>
        <w:jc w:val="both"/>
        <w:rPr>
          <w:rFonts w:ascii="Arial" w:eastAsia="Arial" w:hAnsi="Arial" w:cs="Arial"/>
          <w:color w:val="000000"/>
        </w:rPr>
      </w:pPr>
      <w:r w:rsidRPr="00865D31">
        <w:rPr>
          <w:rFonts w:ascii="Arial" w:eastAsia="Arial" w:hAnsi="Arial" w:cs="Arial"/>
          <w:color w:val="000000"/>
        </w:rPr>
        <w:t>This presentation will discuss the goals, design approach, structure, and key content of this document, to encourage and inform similar efforts. It will also collect feedback from the audience in order to improve future editions.</w:t>
      </w:r>
    </w:p>
    <w:p w14:paraId="00000031" w14:textId="77777777" w:rsidR="00B37AFA" w:rsidRDefault="00B37AFA">
      <w:pPr>
        <w:pBdr>
          <w:top w:val="nil"/>
          <w:left w:val="nil"/>
          <w:bottom w:val="nil"/>
          <w:right w:val="nil"/>
          <w:between w:val="nil"/>
        </w:pBdr>
        <w:jc w:val="both"/>
        <w:rPr>
          <w:rFonts w:ascii="Arial" w:eastAsia="Arial" w:hAnsi="Arial" w:cs="Arial"/>
          <w:color w:val="000000"/>
        </w:rPr>
      </w:pPr>
    </w:p>
    <w:p w14:paraId="00000032" w14:textId="77777777" w:rsidR="00B37AFA" w:rsidRDefault="00B37AFA">
      <w:pPr>
        <w:pBdr>
          <w:top w:val="nil"/>
          <w:left w:val="nil"/>
          <w:bottom w:val="nil"/>
          <w:right w:val="nil"/>
          <w:between w:val="nil"/>
        </w:pBdr>
        <w:jc w:val="both"/>
        <w:rPr>
          <w:rFonts w:ascii="Arial" w:eastAsia="Arial" w:hAnsi="Arial" w:cs="Arial"/>
          <w:color w:val="000000"/>
        </w:rPr>
      </w:pPr>
    </w:p>
    <w:p w14:paraId="00000033" w14:textId="77777777" w:rsidR="00B37AFA"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w:t>
      </w:r>
    </w:p>
    <w:p w14:paraId="00000034" w14:textId="77777777" w:rsidR="00B37AFA" w:rsidRDefault="00B37AFA">
      <w:pPr>
        <w:pBdr>
          <w:top w:val="nil"/>
          <w:left w:val="nil"/>
          <w:bottom w:val="nil"/>
          <w:right w:val="nil"/>
          <w:between w:val="nil"/>
        </w:pBdr>
        <w:jc w:val="both"/>
        <w:rPr>
          <w:rFonts w:ascii="Arial" w:eastAsia="Arial" w:hAnsi="Arial" w:cs="Arial"/>
          <w:color w:val="000000"/>
        </w:rPr>
      </w:pPr>
    </w:p>
    <w:p w14:paraId="00000035" w14:textId="77777777" w:rsidR="00B37AFA" w:rsidRDefault="00000000">
      <w:p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Comments:</w:t>
      </w:r>
    </w:p>
    <w:p w14:paraId="00000036" w14:textId="77777777" w:rsidR="00B37AFA" w:rsidRDefault="00B37AFA">
      <w:pPr>
        <w:pBdr>
          <w:top w:val="nil"/>
          <w:left w:val="nil"/>
          <w:bottom w:val="nil"/>
          <w:right w:val="nil"/>
          <w:between w:val="nil"/>
        </w:pBdr>
        <w:jc w:val="both"/>
        <w:rPr>
          <w:rFonts w:ascii="Arial" w:eastAsia="Arial" w:hAnsi="Arial" w:cs="Arial"/>
          <w:i/>
          <w:color w:val="000000"/>
        </w:rPr>
      </w:pPr>
    </w:p>
    <w:p w14:paraId="63754904" w14:textId="3E714328" w:rsidR="00045787" w:rsidRDefault="00045787">
      <w:pPr>
        <w:pBdr>
          <w:top w:val="nil"/>
          <w:left w:val="nil"/>
          <w:bottom w:val="nil"/>
          <w:right w:val="nil"/>
          <w:between w:val="nil"/>
        </w:pBdr>
        <w:jc w:val="both"/>
        <w:rPr>
          <w:rFonts w:ascii="Arial" w:eastAsia="Arial" w:hAnsi="Arial" w:cs="Arial"/>
          <w:i/>
          <w:color w:val="000000"/>
          <w:sz w:val="22"/>
          <w:szCs w:val="22"/>
        </w:rPr>
      </w:pPr>
      <w:r>
        <w:rPr>
          <w:rFonts w:ascii="Arial" w:eastAsia="Arial" w:hAnsi="Arial" w:cs="Arial"/>
          <w:i/>
          <w:color w:val="000000"/>
          <w:sz w:val="22"/>
          <w:szCs w:val="22"/>
        </w:rPr>
        <w:t>Oral presentation preferred, but poster session is fine, too.</w:t>
      </w:r>
    </w:p>
    <w:p w14:paraId="376755F7" w14:textId="7239F942" w:rsidR="00045787" w:rsidRDefault="00045787">
      <w:pPr>
        <w:pBdr>
          <w:top w:val="nil"/>
          <w:left w:val="nil"/>
          <w:bottom w:val="nil"/>
          <w:right w:val="nil"/>
          <w:between w:val="nil"/>
        </w:pBdr>
        <w:jc w:val="both"/>
        <w:rPr>
          <w:rFonts w:ascii="Arial" w:eastAsia="Arial" w:hAnsi="Arial" w:cs="Arial"/>
          <w:i/>
          <w:color w:val="000000"/>
          <w:sz w:val="22"/>
          <w:szCs w:val="22"/>
        </w:rPr>
      </w:pPr>
      <w:r>
        <w:rPr>
          <w:rFonts w:ascii="Arial" w:eastAsia="Arial" w:hAnsi="Arial" w:cs="Arial"/>
          <w:i/>
          <w:color w:val="000000"/>
          <w:sz w:val="22"/>
          <w:szCs w:val="22"/>
        </w:rPr>
        <w:t xml:space="preserve">Not eligible for the student competition. </w:t>
      </w:r>
    </w:p>
    <w:p w14:paraId="17FB550D" w14:textId="77777777" w:rsidR="00045787" w:rsidRDefault="00045787">
      <w:pPr>
        <w:pBdr>
          <w:top w:val="nil"/>
          <w:left w:val="nil"/>
          <w:bottom w:val="nil"/>
          <w:right w:val="nil"/>
          <w:between w:val="nil"/>
        </w:pBdr>
        <w:jc w:val="both"/>
        <w:rPr>
          <w:rFonts w:ascii="Arial" w:eastAsia="Arial" w:hAnsi="Arial" w:cs="Arial"/>
          <w:i/>
          <w:color w:val="000000"/>
          <w:sz w:val="22"/>
          <w:szCs w:val="22"/>
        </w:rPr>
      </w:pPr>
    </w:p>
    <w:sectPr w:rsidR="00045787">
      <w:footerReference w:type="default" r:id="rId9"/>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BAEE5" w14:textId="77777777" w:rsidR="008F2E63" w:rsidRDefault="008F2E63">
      <w:r>
        <w:separator/>
      </w:r>
    </w:p>
  </w:endnote>
  <w:endnote w:type="continuationSeparator" w:id="0">
    <w:p w14:paraId="10A55733" w14:textId="77777777" w:rsidR="008F2E63" w:rsidRDefault="008F2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7338CB7-8403-426C-AC78-CA4A6E8CFB76}"/>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7468C6D-3BD1-4C1C-A596-D9277F18396B}"/>
    <w:embedBold r:id="rId3" w:fontKey="{075D0713-E2C6-4160-85D5-06F5BE0E236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2439D04-A07F-415D-9D59-E279CAAB583E}"/>
    <w:embedItalic r:id="rId5" w:fontKey="{1A2FAC4D-3FE4-4800-844A-7D84F00A79D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532FA0A7-995C-4E16-889E-82E0BF7007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8" w14:textId="6E949077" w:rsidR="00B37AFA"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5805D5">
      <w:rPr>
        <w:rFonts w:ascii="Arial" w:eastAsia="Arial" w:hAnsi="Arial" w:cs="Arial"/>
        <w:noProof/>
        <w:color w:val="000000"/>
      </w:rPr>
      <w:t>1</w:t>
    </w:r>
    <w:r>
      <w:rPr>
        <w:rFonts w:ascii="Arial" w:eastAsia="Arial" w:hAnsi="Arial" w:cs="Arial"/>
        <w:color w:val="000000"/>
      </w:rPr>
      <w:fldChar w:fldCharType="end"/>
    </w:r>
  </w:p>
  <w:p w14:paraId="00000039" w14:textId="77777777" w:rsidR="00B37AFA" w:rsidRDefault="00B37AF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C68981" w14:textId="77777777" w:rsidR="008F2E63" w:rsidRDefault="008F2E63">
      <w:r>
        <w:separator/>
      </w:r>
    </w:p>
  </w:footnote>
  <w:footnote w:type="continuationSeparator" w:id="0">
    <w:p w14:paraId="2DA48733" w14:textId="77777777" w:rsidR="008F2E63" w:rsidRDefault="008F2E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500D07"/>
    <w:multiLevelType w:val="multilevel"/>
    <w:tmpl w:val="F7260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2801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AFA"/>
    <w:rsid w:val="00045787"/>
    <w:rsid w:val="000F0A1B"/>
    <w:rsid w:val="0028003E"/>
    <w:rsid w:val="003B1170"/>
    <w:rsid w:val="00446DF1"/>
    <w:rsid w:val="004F389D"/>
    <w:rsid w:val="005805D5"/>
    <w:rsid w:val="00865D31"/>
    <w:rsid w:val="008E7D25"/>
    <w:rsid w:val="008F2E63"/>
    <w:rsid w:val="00982009"/>
    <w:rsid w:val="009F7927"/>
    <w:rsid w:val="00B37AFA"/>
    <w:rsid w:val="00B84EF3"/>
    <w:rsid w:val="00D96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78971"/>
  <w15:docId w15:val="{EE29063C-E990-4CD0-92CB-FE5F9F133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outlineLvl w:val="4"/>
    </w:pPr>
    <w:rPr>
      <w:rFonts w:ascii="Times New Roman" w:eastAsia="Times New Roman" w:hAnsi="Times New Roman" w:cs="Times New Roman"/>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045787"/>
    <w:rPr>
      <w:color w:val="0000FF" w:themeColor="hyperlink"/>
      <w:u w:val="single"/>
    </w:rPr>
  </w:style>
  <w:style w:type="character" w:styleId="UnresolvedMention">
    <w:name w:val="Unresolved Mention"/>
    <w:basedOn w:val="DefaultParagraphFont"/>
    <w:uiPriority w:val="99"/>
    <w:semiHidden/>
    <w:unhideWhenUsed/>
    <w:rsid w:val="000457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josburg@rand.org" TargetMode="External"/><Relationship Id="rId3" Type="http://schemas.openxmlformats.org/officeDocument/2006/relationships/settings" Target="settings.xml"/><Relationship Id="rId7" Type="http://schemas.openxmlformats.org/officeDocument/2006/relationships/hyperlink" Target="https://iaaspace.org/pd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532</Words>
  <Characters>3034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Expanding our Planetary Defense Umbrella to Cislunar Space</vt:lpstr>
    </vt:vector>
  </TitlesOfParts>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“Planetary Defense Decisionmaker Guide”</dc:title>
  <dc:creator>Jan Osburg</dc:creator>
  <dc:description>IAA Planetary Defense Conference 2025</dc:description>
  <cp:lastModifiedBy>Jan Osburg</cp:lastModifiedBy>
  <cp:revision>6</cp:revision>
  <dcterms:created xsi:type="dcterms:W3CDTF">2024-09-24T20:55:00Z</dcterms:created>
  <dcterms:modified xsi:type="dcterms:W3CDTF">2024-09-26T02:35:00Z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2022-10-06T07:20:59Z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d8dfa894-9e05-41f7-b6b2-2c98086eec37</vt:lpwstr>
  </property>
  <property fmtid="{D5CDD505-2E9C-101B-9397-08002B2CF9AE}" pid="8" name="MSIP_Label_3976fa30-1907-4356-8241-62ea5e1c0256_ContentBits">
    <vt:lpwstr>0</vt:lpwstr>
  </property>
</Properties>
</file>