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964DF" w:rsidRDefault="00000000">
      <w:pPr>
        <w:jc w:val="center"/>
        <w:rPr>
          <w:rFonts w:ascii="Arial" w:eastAsia="Arial" w:hAnsi="Arial" w:cs="Arial"/>
          <w:b/>
        </w:rPr>
      </w:pPr>
      <w:r>
        <w:rPr>
          <w:rFonts w:ascii="Arial" w:eastAsia="Arial" w:hAnsi="Arial" w:cs="Arial"/>
          <w:b/>
        </w:rPr>
        <w:t>PDC2025</w:t>
      </w:r>
    </w:p>
    <w:p w14:paraId="00000002" w14:textId="77777777" w:rsidR="00B964DF" w:rsidRDefault="00000000">
      <w:pPr>
        <w:jc w:val="center"/>
        <w:rPr>
          <w:rFonts w:ascii="Arial" w:eastAsia="Arial" w:hAnsi="Arial" w:cs="Arial"/>
          <w:b/>
        </w:rPr>
      </w:pPr>
      <w:r>
        <w:rPr>
          <w:rFonts w:ascii="Arial" w:eastAsia="Arial" w:hAnsi="Arial" w:cs="Arial"/>
          <w:b/>
        </w:rPr>
        <w:t>Stellenbosch, Cape Town, South Africa</w:t>
      </w:r>
    </w:p>
    <w:p w14:paraId="00000006" w14:textId="77777777" w:rsidR="00B964DF" w:rsidRDefault="00B964DF">
      <w:pPr>
        <w:jc w:val="center"/>
        <w:rPr>
          <w:rFonts w:ascii="Arial" w:eastAsia="Arial" w:hAnsi="Arial" w:cs="Arial"/>
          <w:b/>
        </w:rPr>
      </w:pPr>
    </w:p>
    <w:p w14:paraId="0000000A" w14:textId="77777777" w:rsidR="00B964DF" w:rsidRPr="00C44E7C" w:rsidRDefault="00000000">
      <w:pPr>
        <w:rPr>
          <w:rFonts w:ascii="Arial" w:eastAsia="Arial" w:hAnsi="Arial" w:cs="Arial"/>
          <w:bCs/>
        </w:rPr>
      </w:pPr>
      <w:bookmarkStart w:id="0" w:name="gjdgxs" w:colFirst="0" w:colLast="0"/>
      <w:bookmarkEnd w:id="0"/>
      <w:r w:rsidRPr="00C44E7C">
        <w:rPr>
          <w:rFonts w:ascii="Arial" w:eastAsia="Arial" w:hAnsi="Arial" w:cs="Arial"/>
          <w:bCs/>
        </w:rPr>
        <w:t>☐ Ongoing and Upcoming Mission Highlights</w:t>
      </w:r>
    </w:p>
    <w:p w14:paraId="0000000B" w14:textId="77777777" w:rsidR="00B964DF" w:rsidRPr="00C44E7C" w:rsidRDefault="00000000">
      <w:pPr>
        <w:rPr>
          <w:rFonts w:ascii="Arial" w:eastAsia="Arial" w:hAnsi="Arial" w:cs="Arial"/>
          <w:bCs/>
        </w:rPr>
      </w:pPr>
      <w:r w:rsidRPr="00C44E7C">
        <w:rPr>
          <w:rFonts w:ascii="Arial" w:eastAsia="Arial" w:hAnsi="Arial" w:cs="Arial"/>
          <w:bCs/>
        </w:rPr>
        <w:t>☐ Apophis: T-4 Years</w:t>
      </w:r>
    </w:p>
    <w:p w14:paraId="0000000C" w14:textId="77777777" w:rsidR="00B964DF" w:rsidRPr="00C44E7C" w:rsidRDefault="00000000">
      <w:pPr>
        <w:rPr>
          <w:rFonts w:ascii="Arial" w:eastAsia="Arial" w:hAnsi="Arial" w:cs="Arial"/>
          <w:bCs/>
        </w:rPr>
      </w:pPr>
      <w:r w:rsidRPr="00C44E7C">
        <w:rPr>
          <w:rFonts w:ascii="Arial" w:eastAsia="Arial" w:hAnsi="Arial" w:cs="Arial"/>
          <w:bCs/>
        </w:rPr>
        <w:t>☐ Hypothetical Asteroid Threat Exercise</w:t>
      </w:r>
    </w:p>
    <w:p w14:paraId="0000000D" w14:textId="77777777" w:rsidR="00B964DF" w:rsidRPr="00C44E7C" w:rsidRDefault="00000000">
      <w:pPr>
        <w:rPr>
          <w:rFonts w:ascii="Arial" w:eastAsia="Arial" w:hAnsi="Arial" w:cs="Arial"/>
          <w:bCs/>
        </w:rPr>
      </w:pPr>
      <w:r w:rsidRPr="00C44E7C">
        <w:rPr>
          <w:rFonts w:ascii="Arial" w:eastAsia="Arial" w:hAnsi="Arial" w:cs="Arial"/>
          <w:bCs/>
        </w:rPr>
        <w:t>☐ Key International and Policy Developments</w:t>
      </w:r>
    </w:p>
    <w:p w14:paraId="0000000E" w14:textId="77777777" w:rsidR="00B964DF" w:rsidRPr="00C44E7C" w:rsidRDefault="00000000">
      <w:pPr>
        <w:rPr>
          <w:rFonts w:ascii="Arial" w:eastAsia="Arial" w:hAnsi="Arial" w:cs="Arial"/>
          <w:bCs/>
        </w:rPr>
      </w:pPr>
      <w:r w:rsidRPr="00C44E7C">
        <w:rPr>
          <w:rFonts w:ascii="Arial" w:eastAsia="Arial" w:hAnsi="Arial" w:cs="Arial"/>
          <w:bCs/>
        </w:rPr>
        <w:t>☐ Near-Earth Object (NEO) Discovery</w:t>
      </w:r>
    </w:p>
    <w:p w14:paraId="0000000F" w14:textId="77777777" w:rsidR="00B964DF" w:rsidRPr="00C44E7C" w:rsidRDefault="00000000">
      <w:pPr>
        <w:rPr>
          <w:rFonts w:ascii="Arial" w:eastAsia="Arial" w:hAnsi="Arial" w:cs="Arial"/>
          <w:bCs/>
        </w:rPr>
      </w:pPr>
      <w:r w:rsidRPr="00C44E7C">
        <w:rPr>
          <w:rFonts w:ascii="Arial" w:eastAsia="Arial" w:hAnsi="Arial" w:cs="Arial"/>
          <w:bCs/>
        </w:rPr>
        <w:t>☐ NEO Characterization</w:t>
      </w:r>
    </w:p>
    <w:p w14:paraId="00000010" w14:textId="77777777" w:rsidR="00B964DF" w:rsidRPr="00C44E7C" w:rsidRDefault="00000000">
      <w:pPr>
        <w:rPr>
          <w:rFonts w:ascii="Arial" w:eastAsia="Arial" w:hAnsi="Arial" w:cs="Arial"/>
          <w:bCs/>
        </w:rPr>
      </w:pPr>
      <w:r w:rsidRPr="00C44E7C">
        <w:rPr>
          <w:rFonts w:ascii="Arial" w:eastAsia="Arial" w:hAnsi="Arial" w:cs="Arial"/>
          <w:bCs/>
        </w:rPr>
        <w:t>☐ Deflection / Disruption Modeling &amp; Testing</w:t>
      </w:r>
    </w:p>
    <w:p w14:paraId="00000011" w14:textId="77777777" w:rsidR="00B964DF" w:rsidRPr="00C44E7C" w:rsidRDefault="00000000">
      <w:pPr>
        <w:rPr>
          <w:rFonts w:ascii="Arial" w:eastAsia="Arial" w:hAnsi="Arial" w:cs="Arial"/>
          <w:bCs/>
        </w:rPr>
      </w:pPr>
      <w:r w:rsidRPr="00C44E7C">
        <w:rPr>
          <w:rFonts w:ascii="Arial" w:eastAsia="Arial" w:hAnsi="Arial" w:cs="Arial"/>
          <w:bCs/>
        </w:rPr>
        <w:t>☐ Space Mission &amp; Campaign Design</w:t>
      </w:r>
    </w:p>
    <w:p w14:paraId="00000012" w14:textId="77777777" w:rsidR="00B964DF" w:rsidRPr="00C44E7C" w:rsidRDefault="00000000">
      <w:pPr>
        <w:rPr>
          <w:rFonts w:ascii="Arial" w:eastAsia="Arial" w:hAnsi="Arial" w:cs="Arial"/>
          <w:bCs/>
        </w:rPr>
      </w:pPr>
      <w:r w:rsidRPr="00C44E7C">
        <w:rPr>
          <w:rFonts w:ascii="Arial" w:eastAsia="Arial" w:hAnsi="Arial" w:cs="Arial"/>
          <w:bCs/>
        </w:rPr>
        <w:t>☐ Earth Impact Effects &amp; Consequences</w:t>
      </w:r>
    </w:p>
    <w:p w14:paraId="00000013" w14:textId="77777777" w:rsidR="00B964DF" w:rsidRPr="00C44E7C" w:rsidRDefault="00000000">
      <w:pPr>
        <w:rPr>
          <w:rFonts w:ascii="Arial" w:eastAsia="Arial" w:hAnsi="Arial" w:cs="Arial"/>
          <w:bCs/>
        </w:rPr>
      </w:pPr>
      <w:r w:rsidRPr="00C44E7C">
        <w:rPr>
          <w:rFonts w:ascii="Arial" w:eastAsia="Arial" w:hAnsi="Arial" w:cs="Arial"/>
          <w:bCs/>
        </w:rPr>
        <w:t>☐ Disaster Management &amp; Impact Response</w:t>
      </w:r>
    </w:p>
    <w:p w14:paraId="00000014" w14:textId="1B9DE14C" w:rsidR="00B964DF" w:rsidRPr="00C44E7C" w:rsidRDefault="00C44E7C">
      <w:pPr>
        <w:rPr>
          <w:rFonts w:ascii="Arial" w:eastAsia="Arial" w:hAnsi="Arial" w:cs="Arial"/>
          <w:bCs/>
        </w:rPr>
      </w:pPr>
      <w:r w:rsidRPr="00C44E7C">
        <w:rPr>
          <w:rFonts w:ascii="ＭＳ 明朝" w:hAnsi="ＭＳ 明朝" w:cs="ＭＳ 明朝" w:hint="eastAsia"/>
          <w:bCs/>
        </w:rPr>
        <w:t>☑</w:t>
      </w:r>
      <w:r w:rsidRPr="00C44E7C">
        <w:rPr>
          <w:rFonts w:ascii="Arial" w:eastAsia="Arial" w:hAnsi="Arial" w:cs="Arial"/>
          <w:bCs/>
        </w:rPr>
        <w:t xml:space="preserve"> </w:t>
      </w:r>
      <w:r w:rsidR="00342FC1" w:rsidRPr="00C44E7C">
        <w:rPr>
          <w:rFonts w:ascii="Arial" w:eastAsia="Arial" w:hAnsi="Arial" w:cs="Arial"/>
          <w:bCs/>
        </w:rPr>
        <w:t>Public Education and Communication</w:t>
      </w:r>
    </w:p>
    <w:p w14:paraId="00000015" w14:textId="07DDE427" w:rsidR="00B964DF" w:rsidRPr="00C44E7C" w:rsidRDefault="00DB2A95">
      <w:pPr>
        <w:rPr>
          <w:rFonts w:ascii="Arial" w:eastAsia="Arial" w:hAnsi="Arial" w:cs="Arial"/>
          <w:bCs/>
        </w:rPr>
      </w:pPr>
      <w:r w:rsidRPr="00C44E7C">
        <w:rPr>
          <w:rFonts w:ascii="ＭＳ 明朝" w:hAnsi="ＭＳ 明朝" w:cs="ＭＳ 明朝" w:hint="eastAsia"/>
          <w:bCs/>
        </w:rPr>
        <w:t>☑</w:t>
      </w:r>
      <w:r w:rsidR="00342FC1" w:rsidRPr="00C44E7C">
        <w:rPr>
          <w:rFonts w:ascii="Arial" w:eastAsia="Arial" w:hAnsi="Arial" w:cs="Arial"/>
          <w:bCs/>
        </w:rPr>
        <w:t xml:space="preserve"> The Decision to Act: Political, Legal, Social, and Economic Aspects</w:t>
      </w:r>
    </w:p>
    <w:p w14:paraId="00000016" w14:textId="77777777" w:rsidR="00B964DF" w:rsidRDefault="00B964DF">
      <w:pPr>
        <w:jc w:val="center"/>
        <w:rPr>
          <w:rFonts w:ascii="Arial" w:eastAsia="Arial" w:hAnsi="Arial" w:cs="Arial"/>
          <w:b/>
        </w:rPr>
      </w:pPr>
    </w:p>
    <w:p w14:paraId="00000017" w14:textId="77777777" w:rsidR="00B964DF" w:rsidRDefault="00B964DF">
      <w:pPr>
        <w:jc w:val="center"/>
        <w:rPr>
          <w:rFonts w:ascii="Arial" w:eastAsia="Arial" w:hAnsi="Arial" w:cs="Arial"/>
          <w:b/>
        </w:rPr>
      </w:pPr>
    </w:p>
    <w:p w14:paraId="00000018" w14:textId="088E7BAB" w:rsidR="00B964DF" w:rsidRPr="00D37E94" w:rsidRDefault="00C44E7C">
      <w:pPr>
        <w:jc w:val="center"/>
        <w:rPr>
          <w:rFonts w:ascii="Arial" w:eastAsia="Arial" w:hAnsi="Arial" w:cs="Arial"/>
          <w:b/>
        </w:rPr>
      </w:pPr>
      <w:r w:rsidRPr="001F1F6D">
        <w:rPr>
          <w:rFonts w:ascii="Arial" w:hAnsi="Arial" w:cs="Arial"/>
          <w:b/>
          <w:bCs/>
        </w:rPr>
        <w:t xml:space="preserve">Incorporating </w:t>
      </w:r>
      <w:r w:rsidR="00BC3CA6">
        <w:rPr>
          <w:rFonts w:ascii="Arial" w:hAnsi="Arial" w:cs="Arial" w:hint="eastAsia"/>
          <w:b/>
          <w:bCs/>
        </w:rPr>
        <w:t xml:space="preserve">Planetary Defense </w:t>
      </w:r>
      <w:r w:rsidRPr="001F1F6D">
        <w:rPr>
          <w:rFonts w:ascii="Arial" w:hAnsi="Arial" w:cs="Arial"/>
          <w:b/>
          <w:bCs/>
        </w:rPr>
        <w:t xml:space="preserve">into the </w:t>
      </w:r>
      <w:r w:rsidR="00D37E94" w:rsidRPr="00D37E94">
        <w:rPr>
          <w:rFonts w:ascii="Arial" w:hAnsi="Arial" w:cs="Arial"/>
          <w:b/>
          <w:bCs/>
        </w:rPr>
        <w:t>“</w:t>
      </w:r>
      <w:r w:rsidRPr="001F1F6D">
        <w:rPr>
          <w:rFonts w:ascii="Arial" w:hAnsi="Arial" w:cs="Arial"/>
          <w:b/>
          <w:bCs/>
        </w:rPr>
        <w:t>Post-SDGs</w:t>
      </w:r>
      <w:r w:rsidR="00D37E94" w:rsidRPr="00D37E94">
        <w:rPr>
          <w:rFonts w:ascii="Arial" w:hAnsi="Arial" w:cs="Arial"/>
          <w:b/>
          <w:bCs/>
        </w:rPr>
        <w:t>”</w:t>
      </w:r>
    </w:p>
    <w:p w14:paraId="00000019" w14:textId="77777777" w:rsidR="00B964DF" w:rsidRDefault="00B964DF">
      <w:pPr>
        <w:rPr>
          <w:rFonts w:ascii="Arial" w:eastAsia="Arial" w:hAnsi="Arial" w:cs="Arial"/>
          <w:b/>
        </w:rPr>
      </w:pPr>
    </w:p>
    <w:p w14:paraId="0000001A" w14:textId="5D4A9B0F" w:rsidR="00B964DF" w:rsidRDefault="00342FC1">
      <w:pPr>
        <w:jc w:val="center"/>
        <w:rPr>
          <w:rFonts w:ascii="Arial" w:eastAsiaTheme="minorEastAsia" w:hAnsi="Arial" w:cs="Arial"/>
          <w:vertAlign w:val="superscript"/>
        </w:rPr>
      </w:pPr>
      <w:r>
        <w:rPr>
          <w:rFonts w:ascii="Arial" w:eastAsiaTheme="minorEastAsia" w:hAnsi="Arial" w:cs="Arial" w:hint="eastAsia"/>
          <w:b/>
        </w:rPr>
        <w:t xml:space="preserve">Ken-ichi </w:t>
      </w:r>
      <w:proofErr w:type="gramStart"/>
      <w:r>
        <w:rPr>
          <w:rFonts w:ascii="Arial" w:eastAsiaTheme="minorEastAsia" w:hAnsi="Arial" w:cs="Arial" w:hint="eastAsia"/>
          <w:b/>
        </w:rPr>
        <w:t>KUMAGAI</w:t>
      </w:r>
      <w:r>
        <w:rPr>
          <w:rFonts w:ascii="Arial" w:eastAsia="Arial" w:hAnsi="Arial" w:cs="Arial"/>
          <w:vertAlign w:val="superscript"/>
        </w:rPr>
        <w:t>(</w:t>
      </w:r>
      <w:proofErr w:type="gramEnd"/>
      <w:r>
        <w:rPr>
          <w:rFonts w:ascii="Arial" w:eastAsia="Arial" w:hAnsi="Arial" w:cs="Arial"/>
          <w:vertAlign w:val="superscript"/>
        </w:rPr>
        <w:t>1)</w:t>
      </w:r>
      <w:r w:rsidRPr="00342FC1">
        <w:rPr>
          <w:rFonts w:ascii="Arial" w:eastAsia="Arial" w:hAnsi="Arial" w:cs="Arial"/>
          <w:vertAlign w:val="superscript"/>
        </w:rPr>
        <w:t xml:space="preserve"> </w:t>
      </w:r>
      <w:r>
        <w:rPr>
          <w:rFonts w:ascii="Arial" w:eastAsia="Arial" w:hAnsi="Arial" w:cs="Arial"/>
          <w:vertAlign w:val="superscript"/>
        </w:rPr>
        <w:t>)(2)</w:t>
      </w:r>
    </w:p>
    <w:p w14:paraId="0A629AE0" w14:textId="77777777" w:rsidR="00D37E94" w:rsidRPr="00D37E94" w:rsidRDefault="00D37E94">
      <w:pPr>
        <w:jc w:val="center"/>
        <w:rPr>
          <w:rFonts w:ascii="Arial" w:eastAsiaTheme="minorEastAsia" w:hAnsi="Arial" w:cs="Arial" w:hint="eastAsia"/>
          <w:b/>
        </w:rPr>
      </w:pPr>
    </w:p>
    <w:p w14:paraId="0000001B" w14:textId="09CC3F48" w:rsidR="00B964DF" w:rsidRDefault="00000000">
      <w:pPr>
        <w:jc w:val="center"/>
        <w:rPr>
          <w:rFonts w:ascii="Arial" w:eastAsia="Arial" w:hAnsi="Arial" w:cs="Arial"/>
          <w:i/>
        </w:rPr>
      </w:pPr>
      <w:r>
        <w:rPr>
          <w:rFonts w:ascii="Arial" w:eastAsia="Arial" w:hAnsi="Arial" w:cs="Arial"/>
          <w:vertAlign w:val="superscript"/>
        </w:rPr>
        <w:t>(</w:t>
      </w:r>
      <w:proofErr w:type="gramStart"/>
      <w:r>
        <w:rPr>
          <w:rFonts w:ascii="Arial" w:eastAsia="Arial" w:hAnsi="Arial" w:cs="Arial"/>
          <w:vertAlign w:val="superscript"/>
        </w:rPr>
        <w:t>1)</w:t>
      </w:r>
      <w:r w:rsidR="00342FC1">
        <w:rPr>
          <w:rFonts w:ascii="Arial" w:eastAsiaTheme="minorEastAsia" w:hAnsi="Arial" w:cs="Arial" w:hint="eastAsia"/>
          <w:i/>
        </w:rPr>
        <w:t>Tokyo</w:t>
      </w:r>
      <w:proofErr w:type="gramEnd"/>
      <w:r w:rsidR="00342FC1">
        <w:rPr>
          <w:rFonts w:ascii="Arial" w:eastAsiaTheme="minorEastAsia" w:hAnsi="Arial" w:cs="Arial" w:hint="eastAsia"/>
          <w:i/>
        </w:rPr>
        <w:t xml:space="preserve"> International University</w:t>
      </w:r>
      <w:r>
        <w:rPr>
          <w:rFonts w:ascii="Arial" w:eastAsia="Arial" w:hAnsi="Arial" w:cs="Arial"/>
          <w:i/>
        </w:rPr>
        <w:t xml:space="preserve">, </w:t>
      </w:r>
      <w:r w:rsidR="005D4C4C">
        <w:rPr>
          <w:rFonts w:ascii="Arial" w:eastAsiaTheme="minorEastAsia" w:hAnsi="Arial" w:cs="Arial" w:hint="eastAsia"/>
          <w:i/>
        </w:rPr>
        <w:t>4-12,31 Higashi Ikebukuro</w:t>
      </w:r>
      <w:r>
        <w:rPr>
          <w:rFonts w:ascii="Arial" w:eastAsia="Arial" w:hAnsi="Arial" w:cs="Arial"/>
          <w:i/>
        </w:rPr>
        <w:t xml:space="preserve">, </w:t>
      </w:r>
      <w:r w:rsidR="005D4C4C">
        <w:rPr>
          <w:rFonts w:ascii="Arial" w:eastAsiaTheme="minorEastAsia" w:hAnsi="Arial" w:cs="Arial" w:hint="eastAsia"/>
          <w:i/>
        </w:rPr>
        <w:t>Toshima-City</w:t>
      </w:r>
      <w:r>
        <w:rPr>
          <w:rFonts w:ascii="Arial" w:eastAsia="Arial" w:hAnsi="Arial" w:cs="Arial"/>
          <w:i/>
        </w:rPr>
        <w:t>,</w:t>
      </w:r>
      <w:r w:rsidR="005D4C4C">
        <w:rPr>
          <w:rFonts w:ascii="Arial" w:eastAsiaTheme="minorEastAsia" w:hAnsi="Arial" w:cs="Arial" w:hint="eastAsia"/>
          <w:i/>
        </w:rPr>
        <w:t xml:space="preserve"> Tokyo 170-0013JAPAN, +81-3-5992-5555</w:t>
      </w:r>
    </w:p>
    <w:p w14:paraId="0000001C" w14:textId="7CBDA75E" w:rsidR="00B964DF" w:rsidRDefault="00342FC1">
      <w:pPr>
        <w:jc w:val="center"/>
        <w:rPr>
          <w:rFonts w:ascii="Arial" w:eastAsia="Arial" w:hAnsi="Arial" w:cs="Arial"/>
        </w:rPr>
      </w:pPr>
      <w:r>
        <w:rPr>
          <w:rFonts w:ascii="Arial" w:eastAsia="Arial" w:hAnsi="Arial" w:cs="Arial"/>
          <w:vertAlign w:val="superscript"/>
        </w:rPr>
        <w:t>(</w:t>
      </w:r>
      <w:proofErr w:type="gramStart"/>
      <w:r>
        <w:rPr>
          <w:rFonts w:ascii="Arial" w:eastAsia="Arial" w:hAnsi="Arial" w:cs="Arial"/>
          <w:vertAlign w:val="superscript"/>
        </w:rPr>
        <w:t>2)</w:t>
      </w:r>
      <w:r w:rsidR="00BF5BBF">
        <w:rPr>
          <w:rFonts w:ascii="Arial" w:eastAsiaTheme="minorEastAsia" w:hAnsi="Arial" w:cs="Arial" w:hint="eastAsia"/>
          <w:i/>
        </w:rPr>
        <w:t>Japan</w:t>
      </w:r>
      <w:proofErr w:type="gramEnd"/>
      <w:r w:rsidR="00BF5BBF">
        <w:rPr>
          <w:rFonts w:ascii="Arial" w:eastAsiaTheme="minorEastAsia" w:hAnsi="Arial" w:cs="Arial" w:hint="eastAsia"/>
          <w:i/>
        </w:rPr>
        <w:t xml:space="preserve"> </w:t>
      </w:r>
      <w:proofErr w:type="spellStart"/>
      <w:r w:rsidR="00BF5BBF">
        <w:rPr>
          <w:rFonts w:ascii="Arial" w:eastAsiaTheme="minorEastAsia" w:hAnsi="Arial" w:cs="Arial" w:hint="eastAsia"/>
          <w:i/>
        </w:rPr>
        <w:t>Spaceguard</w:t>
      </w:r>
      <w:proofErr w:type="spellEnd"/>
      <w:r w:rsidR="00BF5BBF">
        <w:rPr>
          <w:rFonts w:ascii="Arial" w:eastAsiaTheme="minorEastAsia" w:hAnsi="Arial" w:cs="Arial" w:hint="eastAsia"/>
          <w:i/>
        </w:rPr>
        <w:t xml:space="preserve"> Association,2-21-5-504, </w:t>
      </w:r>
      <w:proofErr w:type="spellStart"/>
      <w:r w:rsidR="00BF5BBF">
        <w:rPr>
          <w:rFonts w:ascii="Arial" w:eastAsiaTheme="minorEastAsia" w:hAnsi="Arial" w:cs="Arial" w:hint="eastAsia"/>
          <w:i/>
        </w:rPr>
        <w:t>Ryogoku</w:t>
      </w:r>
      <w:proofErr w:type="spellEnd"/>
      <w:r w:rsidR="00BF5BBF">
        <w:rPr>
          <w:rFonts w:ascii="Arial" w:eastAsiaTheme="minorEastAsia" w:hAnsi="Arial" w:cs="Arial" w:hint="eastAsia"/>
          <w:i/>
        </w:rPr>
        <w:t xml:space="preserve">, Sumida-City, Tokyo, 130-0026JAPAN, </w:t>
      </w:r>
    </w:p>
    <w:p w14:paraId="0000001D" w14:textId="77777777" w:rsidR="00B964DF" w:rsidRDefault="00B964DF">
      <w:pPr>
        <w:jc w:val="center"/>
        <w:rPr>
          <w:rFonts w:ascii="Arial" w:eastAsia="Arial" w:hAnsi="Arial" w:cs="Arial"/>
        </w:rPr>
      </w:pPr>
    </w:p>
    <w:p w14:paraId="0000001F" w14:textId="75911876" w:rsidR="00B964DF" w:rsidRDefault="00000000" w:rsidP="00C935C0">
      <w:pPr>
        <w:jc w:val="both"/>
        <w:rPr>
          <w:rFonts w:ascii="Arial" w:eastAsiaTheme="minorEastAsia" w:hAnsi="Arial" w:cs="Arial"/>
        </w:rPr>
      </w:pPr>
      <w:r>
        <w:rPr>
          <w:rFonts w:ascii="Arial" w:eastAsia="Arial" w:hAnsi="Arial" w:cs="Arial"/>
          <w:b/>
          <w:i/>
        </w:rPr>
        <w:t>Keywords:</w:t>
      </w:r>
      <w:r>
        <w:rPr>
          <w:rFonts w:ascii="Arial" w:eastAsia="Arial" w:hAnsi="Arial" w:cs="Arial"/>
          <w:i/>
        </w:rPr>
        <w:t xml:space="preserve"> </w:t>
      </w:r>
      <w:r w:rsidR="00C935C0">
        <w:rPr>
          <w:rFonts w:ascii="Arial" w:eastAsiaTheme="minorEastAsia" w:hAnsi="Arial" w:cs="Arial" w:hint="eastAsia"/>
          <w:i/>
        </w:rPr>
        <w:t>Planetary Defense, Post-SDGs</w:t>
      </w:r>
      <w:r>
        <w:rPr>
          <w:rFonts w:ascii="Arial" w:eastAsia="Arial" w:hAnsi="Arial" w:cs="Arial"/>
          <w:i/>
        </w:rPr>
        <w:t>,</w:t>
      </w:r>
      <w:r w:rsidR="00C935C0" w:rsidRPr="00C935C0">
        <w:rPr>
          <w:rFonts w:ascii="Arial" w:hAnsi="Arial" w:cs="Arial"/>
        </w:rPr>
        <w:t xml:space="preserve"> </w:t>
      </w:r>
      <w:r w:rsidR="00C935C0">
        <w:rPr>
          <w:rFonts w:ascii="Arial" w:hAnsi="Arial" w:cs="Arial" w:hint="eastAsia"/>
        </w:rPr>
        <w:t xml:space="preserve">fundamental connection, the Year 2025, </w:t>
      </w:r>
      <w:r w:rsidR="00C935C0" w:rsidRPr="001F1F6D">
        <w:rPr>
          <w:rFonts w:ascii="Arial" w:hAnsi="Arial" w:cs="Arial"/>
        </w:rPr>
        <w:t>Apophis</w:t>
      </w:r>
      <w:r w:rsidR="00C935C0">
        <w:rPr>
          <w:rFonts w:ascii="Arial" w:hAnsi="Arial" w:cs="Arial" w:hint="eastAsia"/>
        </w:rPr>
        <w:t>,</w:t>
      </w:r>
    </w:p>
    <w:p w14:paraId="697C01FE" w14:textId="77777777" w:rsidR="002166E5" w:rsidRDefault="002166E5">
      <w:pPr>
        <w:rPr>
          <w:rFonts w:ascii="Arial" w:eastAsiaTheme="minorEastAsia" w:hAnsi="Arial" w:cs="Arial"/>
        </w:rPr>
      </w:pPr>
    </w:p>
    <w:p w14:paraId="05630163" w14:textId="1F85774A" w:rsidR="00BC3CA6" w:rsidRPr="001F1F6D" w:rsidRDefault="00BC3CA6" w:rsidP="00BC3CA6">
      <w:pPr>
        <w:jc w:val="both"/>
        <w:rPr>
          <w:rFonts w:ascii="Arial" w:hAnsi="Arial" w:cs="Arial"/>
        </w:rPr>
      </w:pPr>
      <w:bookmarkStart w:id="1" w:name="_Hlk185088511"/>
      <w:r w:rsidRPr="001F1F6D">
        <w:rPr>
          <w:rFonts w:ascii="Arial" w:hAnsi="Arial" w:cs="Arial"/>
        </w:rPr>
        <w:t>The Sustainable Development Goals (SDGs), adopted unanimously by United Nations member states at the General Assembly in September 2015, represent a set of international goals aimed at creating a sustainable and better world by 2030. Considering the significance of the SDGs, several space-related challenges are intrinsically linked to their objectives. Among these, planetary defense, which addresses the survival of humanity and its civilization, shares a fundamental connection with the SDGs.</w:t>
      </w:r>
    </w:p>
    <w:p w14:paraId="4238E8FD" w14:textId="016CB7BA" w:rsidR="00BC3CA6" w:rsidRPr="001F1F6D" w:rsidRDefault="00BC3CA6" w:rsidP="00BC3CA6">
      <w:pPr>
        <w:jc w:val="both"/>
        <w:rPr>
          <w:rFonts w:ascii="Arial" w:hAnsi="Arial" w:cs="Arial"/>
        </w:rPr>
      </w:pPr>
      <w:r w:rsidRPr="001F1F6D">
        <w:rPr>
          <w:rFonts w:ascii="Arial" w:hAnsi="Arial" w:cs="Arial"/>
        </w:rPr>
        <w:t xml:space="preserve">However, the current SDGs do not explicitly include </w:t>
      </w:r>
      <w:r>
        <w:rPr>
          <w:rFonts w:ascii="Arial" w:hAnsi="Arial" w:cs="Arial" w:hint="eastAsia"/>
        </w:rPr>
        <w:t xml:space="preserve">planetary defense and other </w:t>
      </w:r>
      <w:r w:rsidRPr="001F1F6D">
        <w:rPr>
          <w:rFonts w:ascii="Arial" w:hAnsi="Arial" w:cs="Arial"/>
        </w:rPr>
        <w:t>space-related challenges, and any connection to these issues must be inferred indirectly. This omission can be attributed to two main reasons. First, the discussion on asteroid impacts at the United Nations has been delayed. A key turning point in this context was the 2013 Chelyabinsk meteor event in Russia, which highlighted the catastrophic potential of extraterrestrial impacts. Nonetheless, th</w:t>
      </w:r>
      <w:r w:rsidR="00C935C0">
        <w:rPr>
          <w:rFonts w:ascii="Arial" w:hAnsi="Arial" w:cs="Arial" w:hint="eastAsia"/>
        </w:rPr>
        <w:t>e timing was</w:t>
      </w:r>
      <w:r w:rsidRPr="001F1F6D">
        <w:rPr>
          <w:rFonts w:ascii="Arial" w:hAnsi="Arial" w:cs="Arial"/>
        </w:rPr>
        <w:t xml:space="preserve"> too late to influence the incorporation of space-related issues into the SDGs. </w:t>
      </w:r>
      <w:r w:rsidRPr="00BC3CA6">
        <w:rPr>
          <w:rFonts w:ascii="Arial" w:hAnsi="Arial" w:cs="Arial"/>
        </w:rPr>
        <w:t>Second, scholars and practitioners engaged in space-related fields have not yet sufficiently advocated for the integration of such issues into the SDG framework.</w:t>
      </w:r>
    </w:p>
    <w:p w14:paraId="1C4F0A54" w14:textId="77777777" w:rsidR="00BC3CA6" w:rsidRPr="001F1F6D" w:rsidRDefault="00BC3CA6" w:rsidP="00BC3CA6">
      <w:pPr>
        <w:jc w:val="both"/>
        <w:rPr>
          <w:rFonts w:ascii="Arial" w:hAnsi="Arial" w:cs="Arial"/>
        </w:rPr>
      </w:pPr>
      <w:r w:rsidRPr="001F1F6D">
        <w:rPr>
          <w:rFonts w:ascii="Arial" w:hAnsi="Arial" w:cs="Arial"/>
        </w:rPr>
        <w:lastRenderedPageBreak/>
        <w:t>As the 2030 deadline for the current SDGs approaches, international discussions have begun on envisioning the "post-SDGs" framework. This presents a significant opportunity to include space-related challenges in the next iteration of global goals. A major milestone in this process is the UN SDGs Summit scheduled for the autumn of 2027, during which the outline of the post-SDGs agenda may be developed. The adoption of the new SDGs framework is expected at the 2030 UN General Assembly. Additionally, the close approach of the asteroid Apophis in April 2029 could serve as a meaningful event to garner global attention on planetary defense.</w:t>
      </w:r>
    </w:p>
    <w:p w14:paraId="1F4BF8E2" w14:textId="42D110D2" w:rsidR="00BC3CA6" w:rsidRPr="001F1F6D" w:rsidRDefault="00BC3CA6" w:rsidP="00BC3CA6">
      <w:pPr>
        <w:jc w:val="both"/>
        <w:rPr>
          <w:rFonts w:ascii="Arial" w:hAnsi="Arial" w:cs="Arial"/>
        </w:rPr>
      </w:pPr>
      <w:r w:rsidRPr="001F1F6D">
        <w:rPr>
          <w:rFonts w:ascii="Arial" w:hAnsi="Arial" w:cs="Arial"/>
        </w:rPr>
        <w:t>Among the space-related challenges to be included in the SDGs, planetary defense is of paramount importance. Many aspects of this issue and its countermeasures have already been extensively discussed at the Planetary Defense Conferences (PDC</w:t>
      </w:r>
      <w:r w:rsidR="00C935C0">
        <w:rPr>
          <w:rFonts w:ascii="Arial" w:hAnsi="Arial" w:cs="Arial" w:hint="eastAsia"/>
        </w:rPr>
        <w:t>s</w:t>
      </w:r>
      <w:r w:rsidRPr="001F1F6D">
        <w:rPr>
          <w:rFonts w:ascii="Arial" w:hAnsi="Arial" w:cs="Arial"/>
        </w:rPr>
        <w:t xml:space="preserve">), providing a valuable foundation for narrowing down priorities. Beyond planetary defense, other space-related challenges intersect with the SDGs, such as the impact of solar flares on Earth, space debris management, sustainable space development on the Moon and Mars, the utilization of space for energy solutions, and </w:t>
      </w:r>
      <w:r w:rsidR="00DB2A95">
        <w:rPr>
          <w:rFonts w:ascii="Arial" w:hAnsi="Arial" w:cs="Arial" w:hint="eastAsia"/>
        </w:rPr>
        <w:t>so on</w:t>
      </w:r>
      <w:r w:rsidRPr="001F1F6D">
        <w:rPr>
          <w:rFonts w:ascii="Arial" w:hAnsi="Arial" w:cs="Arial"/>
        </w:rPr>
        <w:t>.</w:t>
      </w:r>
    </w:p>
    <w:p w14:paraId="4097AAB4" w14:textId="01E8D4C4" w:rsidR="00BC3CA6" w:rsidRPr="001F1F6D" w:rsidRDefault="00BC3CA6" w:rsidP="00BC3CA6">
      <w:pPr>
        <w:jc w:val="both"/>
        <w:rPr>
          <w:rFonts w:ascii="Arial" w:hAnsi="Arial" w:cs="Arial"/>
        </w:rPr>
      </w:pPr>
      <w:r w:rsidRPr="001F1F6D">
        <w:rPr>
          <w:rFonts w:ascii="Arial" w:hAnsi="Arial" w:cs="Arial"/>
        </w:rPr>
        <w:t xml:space="preserve">Given the timeline for the post-SDGs agenda, the year 2025 emerges as a particularly critical juncture. It is essential to capitalize on numerous opportunities to strengthen efforts toward realizing SDGs that include </w:t>
      </w:r>
      <w:r>
        <w:rPr>
          <w:rFonts w:ascii="Arial" w:hAnsi="Arial" w:cs="Arial" w:hint="eastAsia"/>
        </w:rPr>
        <w:t xml:space="preserve">planetary defense and other </w:t>
      </w:r>
      <w:r w:rsidRPr="001F1F6D">
        <w:rPr>
          <w:rFonts w:ascii="Arial" w:hAnsi="Arial" w:cs="Arial"/>
        </w:rPr>
        <w:t xml:space="preserve">space-related challenges. </w:t>
      </w:r>
    </w:p>
    <w:bookmarkEnd w:id="1"/>
    <w:p w14:paraId="00000031" w14:textId="77777777" w:rsidR="00B964DF" w:rsidRPr="00BC3CA6" w:rsidRDefault="00B964DF">
      <w:pPr>
        <w:pBdr>
          <w:top w:val="nil"/>
          <w:left w:val="nil"/>
          <w:bottom w:val="nil"/>
          <w:right w:val="nil"/>
          <w:between w:val="nil"/>
        </w:pBdr>
        <w:jc w:val="both"/>
        <w:rPr>
          <w:rFonts w:ascii="Arial" w:eastAsia="Arial" w:hAnsi="Arial" w:cs="Arial"/>
          <w:color w:val="000000"/>
        </w:rPr>
      </w:pPr>
    </w:p>
    <w:p w14:paraId="00000034" w14:textId="77777777" w:rsidR="00B964DF" w:rsidRPr="00BC3CA6" w:rsidRDefault="00B964DF">
      <w:pPr>
        <w:pBdr>
          <w:top w:val="nil"/>
          <w:left w:val="nil"/>
          <w:bottom w:val="nil"/>
          <w:right w:val="nil"/>
          <w:between w:val="nil"/>
        </w:pBdr>
        <w:jc w:val="both"/>
        <w:rPr>
          <w:rFonts w:ascii="Arial" w:eastAsia="Arial" w:hAnsi="Arial" w:cs="Arial"/>
          <w:color w:val="000000"/>
        </w:rPr>
      </w:pPr>
    </w:p>
    <w:p w14:paraId="00000035" w14:textId="77777777" w:rsidR="00B964DF" w:rsidRDefault="00000000">
      <w:pPr>
        <w:pBdr>
          <w:top w:val="nil"/>
          <w:left w:val="nil"/>
          <w:bottom w:val="nil"/>
          <w:right w:val="nil"/>
          <w:between w:val="nil"/>
        </w:pBdr>
        <w:jc w:val="both"/>
        <w:rPr>
          <w:rFonts w:ascii="Arial" w:eastAsia="Arial" w:hAnsi="Arial" w:cs="Arial"/>
          <w:b/>
          <w:i/>
          <w:color w:val="000000"/>
        </w:rPr>
      </w:pPr>
      <w:r>
        <w:rPr>
          <w:rFonts w:ascii="Arial" w:eastAsia="Arial" w:hAnsi="Arial" w:cs="Arial"/>
          <w:b/>
          <w:i/>
          <w:color w:val="000000"/>
        </w:rPr>
        <w:t>Comments:</w:t>
      </w:r>
    </w:p>
    <w:p w14:paraId="00000036" w14:textId="77777777" w:rsidR="00B964DF" w:rsidRDefault="00B964DF">
      <w:pPr>
        <w:pBdr>
          <w:top w:val="nil"/>
          <w:left w:val="nil"/>
          <w:bottom w:val="nil"/>
          <w:right w:val="nil"/>
          <w:between w:val="nil"/>
        </w:pBdr>
        <w:jc w:val="both"/>
        <w:rPr>
          <w:rFonts w:ascii="Arial" w:eastAsia="Arial" w:hAnsi="Arial" w:cs="Arial"/>
          <w:i/>
          <w:color w:val="000000"/>
        </w:rPr>
      </w:pPr>
    </w:p>
    <w:p w14:paraId="6DAFE05A" w14:textId="77777777" w:rsidR="00591D9B" w:rsidRDefault="00000000" w:rsidP="00591D9B">
      <w:pPr>
        <w:pBdr>
          <w:top w:val="nil"/>
          <w:left w:val="nil"/>
          <w:bottom w:val="nil"/>
          <w:right w:val="nil"/>
          <w:between w:val="nil"/>
        </w:pBdr>
        <w:jc w:val="both"/>
        <w:rPr>
          <w:rFonts w:ascii="Arial" w:eastAsiaTheme="minorEastAsia" w:hAnsi="Arial" w:cs="Arial"/>
          <w:iCs/>
          <w:color w:val="000000"/>
        </w:rPr>
      </w:pPr>
      <w:r w:rsidRPr="00591D9B">
        <w:rPr>
          <w:rFonts w:ascii="Arial" w:eastAsia="Arial" w:hAnsi="Arial" w:cs="Arial"/>
          <w:b/>
          <w:bCs/>
          <w:i/>
          <w:color w:val="000000"/>
          <w:sz w:val="22"/>
          <w:szCs w:val="22"/>
        </w:rPr>
        <w:t>Alternative session</w:t>
      </w:r>
      <w:r w:rsidR="00591D9B" w:rsidRPr="00591D9B">
        <w:rPr>
          <w:rFonts w:ascii="Arial" w:eastAsiaTheme="minorEastAsia" w:hAnsi="Arial" w:cs="Arial" w:hint="eastAsia"/>
          <w:b/>
          <w:bCs/>
          <w:i/>
          <w:color w:val="000000"/>
          <w:sz w:val="22"/>
          <w:szCs w:val="22"/>
        </w:rPr>
        <w:t>:</w:t>
      </w:r>
      <w:r w:rsidR="00591D9B" w:rsidRPr="00591D9B">
        <w:rPr>
          <w:rFonts w:ascii="Arial" w:eastAsiaTheme="minorEastAsia" w:hAnsi="Arial" w:cs="Arial" w:hint="eastAsia"/>
          <w:iCs/>
          <w:color w:val="000000"/>
        </w:rPr>
        <w:t xml:space="preserve"> </w:t>
      </w:r>
      <w:r w:rsidR="00591D9B" w:rsidRPr="00591D9B">
        <w:rPr>
          <w:rFonts w:ascii="Arial" w:eastAsiaTheme="minorEastAsia" w:hAnsi="Arial" w:cs="Arial"/>
          <w:iCs/>
          <w:color w:val="000000"/>
        </w:rPr>
        <w:t xml:space="preserve">Regarding the topics, </w:t>
      </w:r>
      <w:r w:rsidR="00591D9B" w:rsidRPr="00591D9B">
        <w:rPr>
          <w:rFonts w:ascii="Arial" w:eastAsia="Arial" w:hAnsi="Arial" w:cs="Arial"/>
          <w:bCs/>
        </w:rPr>
        <w:t>Public Education and Communication</w:t>
      </w:r>
      <w:r w:rsidR="00591D9B" w:rsidRPr="00591D9B">
        <w:rPr>
          <w:rFonts w:ascii="Arial" w:eastAsiaTheme="minorEastAsia" w:hAnsi="Arial" w:cs="Arial"/>
          <w:iCs/>
          <w:color w:val="000000"/>
        </w:rPr>
        <w:t xml:space="preserve"> </w:t>
      </w:r>
      <w:r w:rsidR="00591D9B" w:rsidRPr="00591D9B">
        <w:rPr>
          <w:rFonts w:ascii="Arial" w:eastAsiaTheme="minorEastAsia" w:hAnsi="Arial" w:cs="Arial"/>
          <w:iCs/>
          <w:color w:val="000000"/>
        </w:rPr>
        <w:t xml:space="preserve">is the most suitable, but </w:t>
      </w:r>
      <w:r w:rsidR="00591D9B" w:rsidRPr="00591D9B">
        <w:rPr>
          <w:rFonts w:ascii="Arial" w:eastAsia="Arial" w:hAnsi="Arial" w:cs="Arial"/>
          <w:bCs/>
        </w:rPr>
        <w:t>The Decision to Act: Political, Legal, Social, and Economic Aspects</w:t>
      </w:r>
      <w:r w:rsidR="00591D9B" w:rsidRPr="00591D9B">
        <w:rPr>
          <w:rFonts w:ascii="Arial" w:eastAsiaTheme="minorEastAsia" w:hAnsi="Arial" w:cs="Arial"/>
          <w:iCs/>
          <w:color w:val="000000"/>
        </w:rPr>
        <w:t xml:space="preserve"> </w:t>
      </w:r>
      <w:r w:rsidR="00591D9B" w:rsidRPr="00591D9B">
        <w:rPr>
          <w:rFonts w:ascii="Arial" w:eastAsiaTheme="minorEastAsia" w:hAnsi="Arial" w:cs="Arial"/>
          <w:iCs/>
          <w:color w:val="000000"/>
        </w:rPr>
        <w:t xml:space="preserve">B is the second most suitable. </w:t>
      </w:r>
    </w:p>
    <w:p w14:paraId="5479CE38" w14:textId="77777777" w:rsidR="00591D9B" w:rsidRDefault="00591D9B" w:rsidP="00591D9B">
      <w:pPr>
        <w:pBdr>
          <w:top w:val="nil"/>
          <w:left w:val="nil"/>
          <w:bottom w:val="nil"/>
          <w:right w:val="nil"/>
          <w:between w:val="nil"/>
        </w:pBdr>
        <w:jc w:val="both"/>
        <w:rPr>
          <w:rFonts w:ascii="Arial" w:eastAsiaTheme="minorEastAsia" w:hAnsi="Arial" w:cs="Arial"/>
          <w:iCs/>
          <w:color w:val="000000"/>
        </w:rPr>
      </w:pPr>
      <w:r w:rsidRPr="00591D9B">
        <w:rPr>
          <w:rFonts w:ascii="Arial" w:eastAsia="Arial" w:hAnsi="Arial" w:cs="Arial"/>
          <w:b/>
          <w:bCs/>
          <w:i/>
          <w:color w:val="000000"/>
          <w:sz w:val="22"/>
          <w:szCs w:val="22"/>
        </w:rPr>
        <w:t>Time slot</w:t>
      </w:r>
      <w:r w:rsidRPr="00591D9B">
        <w:rPr>
          <w:rFonts w:ascii="Arial" w:eastAsiaTheme="minorEastAsia" w:hAnsi="Arial" w:cs="Arial" w:hint="eastAsia"/>
          <w:b/>
          <w:bCs/>
          <w:i/>
          <w:color w:val="000000"/>
          <w:sz w:val="22"/>
          <w:szCs w:val="22"/>
        </w:rPr>
        <w:t xml:space="preserve">: </w:t>
      </w:r>
      <w:r>
        <w:rPr>
          <w:rFonts w:ascii="Arial" w:eastAsiaTheme="minorEastAsia" w:hAnsi="Arial" w:cs="Arial" w:hint="eastAsia"/>
          <w:iCs/>
          <w:color w:val="000000"/>
        </w:rPr>
        <w:t>I</w:t>
      </w:r>
      <w:r w:rsidRPr="00591D9B">
        <w:rPr>
          <w:rFonts w:ascii="Arial" w:eastAsiaTheme="minorEastAsia" w:hAnsi="Arial" w:cs="Arial"/>
          <w:iCs/>
          <w:color w:val="000000"/>
        </w:rPr>
        <w:t xml:space="preserve"> have no special requests regarding the presentation time slot.</w:t>
      </w:r>
    </w:p>
    <w:p w14:paraId="2F94D16E" w14:textId="2DF1DD11" w:rsidR="00591D9B" w:rsidRPr="00591D9B" w:rsidRDefault="00591D9B" w:rsidP="00591D9B">
      <w:pPr>
        <w:pBdr>
          <w:top w:val="nil"/>
          <w:left w:val="nil"/>
          <w:bottom w:val="nil"/>
          <w:right w:val="nil"/>
          <w:between w:val="nil"/>
        </w:pBdr>
        <w:jc w:val="both"/>
        <w:rPr>
          <w:rFonts w:ascii="Arial" w:eastAsiaTheme="minorEastAsia" w:hAnsi="Arial" w:cs="Arial"/>
          <w:iCs/>
          <w:color w:val="000000"/>
        </w:rPr>
      </w:pPr>
      <w:r w:rsidRPr="00591D9B">
        <w:rPr>
          <w:rFonts w:ascii="Arial" w:eastAsia="Arial" w:hAnsi="Arial" w:cs="Arial"/>
          <w:b/>
          <w:bCs/>
          <w:i/>
          <w:color w:val="000000"/>
          <w:sz w:val="22"/>
          <w:szCs w:val="22"/>
        </w:rPr>
        <w:t>Oral or Poster</w:t>
      </w:r>
      <w:r w:rsidRPr="00591D9B">
        <w:rPr>
          <w:rFonts w:ascii="Arial" w:eastAsiaTheme="minorEastAsia" w:hAnsi="Arial" w:cs="Arial" w:hint="eastAsia"/>
          <w:b/>
          <w:bCs/>
          <w:i/>
          <w:color w:val="000000"/>
          <w:sz w:val="22"/>
          <w:szCs w:val="22"/>
        </w:rPr>
        <w:t>:</w:t>
      </w:r>
      <w:r>
        <w:rPr>
          <w:rFonts w:ascii="Arial" w:eastAsia="Arial" w:hAnsi="Arial" w:cs="Arial"/>
          <w:i/>
          <w:color w:val="000000"/>
          <w:sz w:val="22"/>
          <w:szCs w:val="22"/>
        </w:rPr>
        <w:t xml:space="preserve"> </w:t>
      </w:r>
      <w:r w:rsidRPr="00591D9B">
        <w:rPr>
          <w:rFonts w:ascii="Arial" w:eastAsiaTheme="minorEastAsia" w:hAnsi="Arial" w:cs="Arial"/>
          <w:iCs/>
          <w:color w:val="000000"/>
        </w:rPr>
        <w:t>Please make it an oral presentation using slides.</w:t>
      </w:r>
    </w:p>
    <w:sectPr w:rsidR="00591D9B" w:rsidRPr="00591D9B" w:rsidSect="00D37E94">
      <w:footerReference w:type="default" r:id="rId7"/>
      <w:pgSz w:w="11907" w:h="16840"/>
      <w:pgMar w:top="1728" w:right="1440" w:bottom="172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D9BE77" w14:textId="77777777" w:rsidR="00754FFD" w:rsidRDefault="00754FFD">
      <w:r>
        <w:separator/>
      </w:r>
    </w:p>
  </w:endnote>
  <w:endnote w:type="continuationSeparator" w:id="0">
    <w:p w14:paraId="12999A2A" w14:textId="77777777" w:rsidR="00754FFD" w:rsidRDefault="0075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2489006-C629-45B4-A88B-30044C8FD2E3}"/>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4B650E1-8F89-4D0D-8E4C-9E3E0CFC799A}"/>
    <w:embedBold r:id="rId3" w:fontKey="{F506134C-6F88-47B7-90F6-37835D4300C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B8D6C3B-ADA6-4D1D-A5A4-88AD4951BFEE}"/>
    <w:embedItalic r:id="rId5" w:fontKey="{3115152F-7415-4319-B06C-1AE46FE00A05}"/>
  </w:font>
  <w:font w:name="Consolas">
    <w:panose1 w:val="020B0609020204030204"/>
    <w:charset w:val="00"/>
    <w:family w:val="modern"/>
    <w:pitch w:val="fixed"/>
    <w:sig w:usb0="E00006FF" w:usb1="0000FCFF" w:usb2="00000001" w:usb3="00000000" w:csb0="0000019F" w:csb1="00000000"/>
    <w:embedRegular r:id="rId6" w:fontKey="{C3360E9A-C5DF-44B3-A8CD-799C093EB567}"/>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4C46D7A2-9FEE-4B15-AEBD-087E27F331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3D4FF00A" w:rsidR="00B964DF"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716A21">
      <w:rPr>
        <w:rFonts w:ascii="Arial" w:eastAsia="Arial" w:hAnsi="Arial" w:cs="Arial"/>
        <w:noProof/>
        <w:color w:val="000000"/>
      </w:rPr>
      <w:t>1</w:t>
    </w:r>
    <w:r>
      <w:rPr>
        <w:rFonts w:ascii="Arial" w:eastAsia="Arial" w:hAnsi="Arial" w:cs="Arial"/>
        <w:color w:val="000000"/>
      </w:rPr>
      <w:fldChar w:fldCharType="end"/>
    </w:r>
  </w:p>
  <w:p w14:paraId="00000039" w14:textId="77777777" w:rsidR="00B964DF" w:rsidRDefault="00B964D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3E8D00" w14:textId="77777777" w:rsidR="00754FFD" w:rsidRDefault="00754FFD">
      <w:r>
        <w:separator/>
      </w:r>
    </w:p>
  </w:footnote>
  <w:footnote w:type="continuationSeparator" w:id="0">
    <w:p w14:paraId="396538AD" w14:textId="77777777" w:rsidR="00754FFD" w:rsidRDefault="00754F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A071C"/>
    <w:multiLevelType w:val="multilevel"/>
    <w:tmpl w:val="D3C01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379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DF"/>
    <w:rsid w:val="000E4EA3"/>
    <w:rsid w:val="00132AC2"/>
    <w:rsid w:val="002166E5"/>
    <w:rsid w:val="00264137"/>
    <w:rsid w:val="00342FC1"/>
    <w:rsid w:val="00591D9B"/>
    <w:rsid w:val="005D4C4C"/>
    <w:rsid w:val="00621558"/>
    <w:rsid w:val="006D63F8"/>
    <w:rsid w:val="00716A21"/>
    <w:rsid w:val="00754FFD"/>
    <w:rsid w:val="007E6DDD"/>
    <w:rsid w:val="00882F58"/>
    <w:rsid w:val="008D5C12"/>
    <w:rsid w:val="00B964DF"/>
    <w:rsid w:val="00BC3CA6"/>
    <w:rsid w:val="00BF5BBF"/>
    <w:rsid w:val="00C44E7C"/>
    <w:rsid w:val="00C935C0"/>
    <w:rsid w:val="00CC285B"/>
    <w:rsid w:val="00CD45E6"/>
    <w:rsid w:val="00D37E94"/>
    <w:rsid w:val="00DB2A95"/>
    <w:rsid w:val="00F33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9BFBD"/>
  <w15:docId w15:val="{CEFB5C1A-DC48-41BF-8769-FCC4C366A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ＭＳ 明朝" w:hAnsi="Cambria" w:cs="Cambria"/>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outlineLvl w:val="4"/>
    </w:pPr>
    <w:rPr>
      <w:rFonts w:ascii="Times New Roman" w:eastAsia="Times New Roman" w:hAnsi="Times New Roman" w:cs="Times New Roman"/>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342FC1"/>
    <w:pPr>
      <w:tabs>
        <w:tab w:val="center" w:pos="4419"/>
        <w:tab w:val="right" w:pos="8838"/>
      </w:tabs>
    </w:pPr>
  </w:style>
  <w:style w:type="character" w:customStyle="1" w:styleId="a6">
    <w:name w:val="ヘッダー (文字)"/>
    <w:basedOn w:val="a0"/>
    <w:link w:val="a5"/>
    <w:uiPriority w:val="99"/>
    <w:rsid w:val="00342FC1"/>
  </w:style>
  <w:style w:type="paragraph" w:styleId="a7">
    <w:name w:val="footer"/>
    <w:basedOn w:val="a"/>
    <w:link w:val="a8"/>
    <w:uiPriority w:val="99"/>
    <w:unhideWhenUsed/>
    <w:rsid w:val="00342FC1"/>
    <w:pPr>
      <w:tabs>
        <w:tab w:val="center" w:pos="4419"/>
        <w:tab w:val="right" w:pos="8838"/>
      </w:tabs>
    </w:pPr>
  </w:style>
  <w:style w:type="character" w:customStyle="1" w:styleId="a8">
    <w:name w:val="フッター (文字)"/>
    <w:basedOn w:val="a0"/>
    <w:link w:val="a7"/>
    <w:uiPriority w:val="99"/>
    <w:rsid w:val="00342FC1"/>
  </w:style>
  <w:style w:type="paragraph" w:styleId="HTML">
    <w:name w:val="HTML Preformatted"/>
    <w:basedOn w:val="a"/>
    <w:link w:val="HTML0"/>
    <w:uiPriority w:val="99"/>
    <w:semiHidden/>
    <w:unhideWhenUsed/>
    <w:rsid w:val="00BF5BBF"/>
    <w:rPr>
      <w:rFonts w:ascii="Consolas" w:hAnsi="Consolas"/>
      <w:sz w:val="20"/>
      <w:szCs w:val="20"/>
    </w:rPr>
  </w:style>
  <w:style w:type="character" w:customStyle="1" w:styleId="HTML0">
    <w:name w:val="HTML 書式付き (文字)"/>
    <w:basedOn w:val="a0"/>
    <w:link w:val="HTML"/>
    <w:uiPriority w:val="99"/>
    <w:semiHidden/>
    <w:rsid w:val="00BF5BBF"/>
    <w:rPr>
      <w:rFonts w:ascii="Consolas" w:hAnsi="Consolas"/>
      <w:sz w:val="20"/>
      <w:szCs w:val="20"/>
    </w:rPr>
  </w:style>
  <w:style w:type="paragraph" w:styleId="Web">
    <w:name w:val="Normal (Web)"/>
    <w:basedOn w:val="a"/>
    <w:uiPriority w:val="99"/>
    <w:semiHidden/>
    <w:unhideWhenUsed/>
    <w:rsid w:val="00591D9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354353">
      <w:bodyDiv w:val="1"/>
      <w:marLeft w:val="0"/>
      <w:marRight w:val="0"/>
      <w:marTop w:val="0"/>
      <w:marBottom w:val="0"/>
      <w:divBdr>
        <w:top w:val="none" w:sz="0" w:space="0" w:color="auto"/>
        <w:left w:val="none" w:sz="0" w:space="0" w:color="auto"/>
        <w:bottom w:val="none" w:sz="0" w:space="0" w:color="auto"/>
        <w:right w:val="none" w:sz="0" w:space="0" w:color="auto"/>
      </w:divBdr>
    </w:div>
    <w:div w:id="790168584">
      <w:bodyDiv w:val="1"/>
      <w:marLeft w:val="0"/>
      <w:marRight w:val="0"/>
      <w:marTop w:val="0"/>
      <w:marBottom w:val="0"/>
      <w:divBdr>
        <w:top w:val="none" w:sz="0" w:space="0" w:color="auto"/>
        <w:left w:val="none" w:sz="0" w:space="0" w:color="auto"/>
        <w:bottom w:val="none" w:sz="0" w:space="0" w:color="auto"/>
        <w:right w:val="none" w:sz="0" w:space="0" w:color="auto"/>
      </w:divBdr>
      <w:divsChild>
        <w:div w:id="427384856">
          <w:marLeft w:val="0"/>
          <w:marRight w:val="0"/>
          <w:marTop w:val="0"/>
          <w:marBottom w:val="0"/>
          <w:divBdr>
            <w:top w:val="none" w:sz="0" w:space="0" w:color="auto"/>
            <w:left w:val="none" w:sz="0" w:space="0" w:color="auto"/>
            <w:bottom w:val="none" w:sz="0" w:space="0" w:color="auto"/>
            <w:right w:val="none" w:sz="0" w:space="0" w:color="auto"/>
          </w:divBdr>
          <w:divsChild>
            <w:div w:id="1213273607">
              <w:marLeft w:val="0"/>
              <w:marRight w:val="0"/>
              <w:marTop w:val="0"/>
              <w:marBottom w:val="0"/>
              <w:divBdr>
                <w:top w:val="none" w:sz="0" w:space="0" w:color="auto"/>
                <w:left w:val="none" w:sz="0" w:space="0" w:color="auto"/>
                <w:bottom w:val="none" w:sz="0" w:space="0" w:color="auto"/>
                <w:right w:val="none" w:sz="0" w:space="0" w:color="auto"/>
              </w:divBdr>
              <w:divsChild>
                <w:div w:id="142624992">
                  <w:marLeft w:val="0"/>
                  <w:marRight w:val="0"/>
                  <w:marTop w:val="0"/>
                  <w:marBottom w:val="0"/>
                  <w:divBdr>
                    <w:top w:val="none" w:sz="0" w:space="0" w:color="auto"/>
                    <w:left w:val="none" w:sz="0" w:space="0" w:color="auto"/>
                    <w:bottom w:val="none" w:sz="0" w:space="0" w:color="auto"/>
                    <w:right w:val="none" w:sz="0" w:space="0" w:color="auto"/>
                  </w:divBdr>
                  <w:divsChild>
                    <w:div w:id="10048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89818">
          <w:marLeft w:val="0"/>
          <w:marRight w:val="0"/>
          <w:marTop w:val="0"/>
          <w:marBottom w:val="0"/>
          <w:divBdr>
            <w:top w:val="none" w:sz="0" w:space="0" w:color="auto"/>
            <w:left w:val="none" w:sz="0" w:space="0" w:color="auto"/>
            <w:bottom w:val="none" w:sz="0" w:space="0" w:color="auto"/>
            <w:right w:val="none" w:sz="0" w:space="0" w:color="auto"/>
          </w:divBdr>
          <w:divsChild>
            <w:div w:id="804784508">
              <w:marLeft w:val="0"/>
              <w:marRight w:val="0"/>
              <w:marTop w:val="0"/>
              <w:marBottom w:val="0"/>
              <w:divBdr>
                <w:top w:val="none" w:sz="0" w:space="0" w:color="auto"/>
                <w:left w:val="none" w:sz="0" w:space="0" w:color="auto"/>
                <w:bottom w:val="none" w:sz="0" w:space="0" w:color="auto"/>
                <w:right w:val="none" w:sz="0" w:space="0" w:color="auto"/>
              </w:divBdr>
              <w:divsChild>
                <w:div w:id="489177104">
                  <w:marLeft w:val="0"/>
                  <w:marRight w:val="0"/>
                  <w:marTop w:val="0"/>
                  <w:marBottom w:val="0"/>
                  <w:divBdr>
                    <w:top w:val="none" w:sz="0" w:space="0" w:color="auto"/>
                    <w:left w:val="none" w:sz="0" w:space="0" w:color="auto"/>
                    <w:bottom w:val="none" w:sz="0" w:space="0" w:color="auto"/>
                    <w:right w:val="none" w:sz="0" w:space="0" w:color="auto"/>
                  </w:divBdr>
                  <w:divsChild>
                    <w:div w:id="4073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73355">
      <w:bodyDiv w:val="1"/>
      <w:marLeft w:val="0"/>
      <w:marRight w:val="0"/>
      <w:marTop w:val="0"/>
      <w:marBottom w:val="0"/>
      <w:divBdr>
        <w:top w:val="none" w:sz="0" w:space="0" w:color="auto"/>
        <w:left w:val="none" w:sz="0" w:space="0" w:color="auto"/>
        <w:bottom w:val="none" w:sz="0" w:space="0" w:color="auto"/>
        <w:right w:val="none" w:sz="0" w:space="0" w:color="auto"/>
      </w:divBdr>
      <w:divsChild>
        <w:div w:id="908688531">
          <w:marLeft w:val="0"/>
          <w:marRight w:val="0"/>
          <w:marTop w:val="0"/>
          <w:marBottom w:val="0"/>
          <w:divBdr>
            <w:top w:val="none" w:sz="0" w:space="0" w:color="auto"/>
            <w:left w:val="none" w:sz="0" w:space="0" w:color="auto"/>
            <w:bottom w:val="none" w:sz="0" w:space="0" w:color="auto"/>
            <w:right w:val="none" w:sz="0" w:space="0" w:color="auto"/>
          </w:divBdr>
          <w:divsChild>
            <w:div w:id="38165862">
              <w:marLeft w:val="0"/>
              <w:marRight w:val="0"/>
              <w:marTop w:val="0"/>
              <w:marBottom w:val="0"/>
              <w:divBdr>
                <w:top w:val="none" w:sz="0" w:space="0" w:color="auto"/>
                <w:left w:val="none" w:sz="0" w:space="0" w:color="auto"/>
                <w:bottom w:val="none" w:sz="0" w:space="0" w:color="auto"/>
                <w:right w:val="none" w:sz="0" w:space="0" w:color="auto"/>
              </w:divBdr>
              <w:divsChild>
                <w:div w:id="1694845407">
                  <w:marLeft w:val="0"/>
                  <w:marRight w:val="0"/>
                  <w:marTop w:val="0"/>
                  <w:marBottom w:val="0"/>
                  <w:divBdr>
                    <w:top w:val="none" w:sz="0" w:space="0" w:color="auto"/>
                    <w:left w:val="none" w:sz="0" w:space="0" w:color="auto"/>
                    <w:bottom w:val="none" w:sz="0" w:space="0" w:color="auto"/>
                    <w:right w:val="none" w:sz="0" w:space="0" w:color="auto"/>
                  </w:divBdr>
                  <w:divsChild>
                    <w:div w:id="1103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08851">
          <w:marLeft w:val="0"/>
          <w:marRight w:val="0"/>
          <w:marTop w:val="0"/>
          <w:marBottom w:val="0"/>
          <w:divBdr>
            <w:top w:val="none" w:sz="0" w:space="0" w:color="auto"/>
            <w:left w:val="none" w:sz="0" w:space="0" w:color="auto"/>
            <w:bottom w:val="none" w:sz="0" w:space="0" w:color="auto"/>
            <w:right w:val="none" w:sz="0" w:space="0" w:color="auto"/>
          </w:divBdr>
          <w:divsChild>
            <w:div w:id="1649244974">
              <w:marLeft w:val="0"/>
              <w:marRight w:val="0"/>
              <w:marTop w:val="0"/>
              <w:marBottom w:val="0"/>
              <w:divBdr>
                <w:top w:val="none" w:sz="0" w:space="0" w:color="auto"/>
                <w:left w:val="none" w:sz="0" w:space="0" w:color="auto"/>
                <w:bottom w:val="none" w:sz="0" w:space="0" w:color="auto"/>
                <w:right w:val="none" w:sz="0" w:space="0" w:color="auto"/>
              </w:divBdr>
              <w:divsChild>
                <w:div w:id="633606995">
                  <w:marLeft w:val="0"/>
                  <w:marRight w:val="0"/>
                  <w:marTop w:val="0"/>
                  <w:marBottom w:val="0"/>
                  <w:divBdr>
                    <w:top w:val="none" w:sz="0" w:space="0" w:color="auto"/>
                    <w:left w:val="none" w:sz="0" w:space="0" w:color="auto"/>
                    <w:bottom w:val="none" w:sz="0" w:space="0" w:color="auto"/>
                    <w:right w:val="none" w:sz="0" w:space="0" w:color="auto"/>
                  </w:divBdr>
                  <w:divsChild>
                    <w:div w:id="13215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256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576</Words>
  <Characters>3389</Characters>
  <Application>Microsoft Office Word</Application>
  <DocSecurity>0</DocSecurity>
  <Lines>45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ken-ichi</dc:creator>
  <cp:lastModifiedBy>Ken-Ichi Kumagai</cp:lastModifiedBy>
  <cp:revision>3</cp:revision>
  <cp:lastPrinted>2024-12-14T03:38:00Z</cp:lastPrinted>
  <dcterms:created xsi:type="dcterms:W3CDTF">2024-12-14T10:22:00Z</dcterms:created>
  <dcterms:modified xsi:type="dcterms:W3CDTF">2024-12-14T10:42:00Z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76fa30-1907-4356-8241-62ea5e1c0256_Enabled">
    <vt:lpwstr>true</vt:lpwstr>
  </property>
  <property fmtid="{D5CDD505-2E9C-101B-9397-08002B2CF9AE}" pid="3" name="MSIP_Label_3976fa30-1907-4356-8241-62ea5e1c0256_SetDate">
    <vt:lpwstr>2022-10-06T07:20:59Z</vt:lpwstr>
  </property>
  <property fmtid="{D5CDD505-2E9C-101B-9397-08002B2CF9AE}" pid="4" name="MSIP_Label_3976fa30-1907-4356-8241-62ea5e1c0256_Method">
    <vt:lpwstr>Standard</vt:lpwstr>
  </property>
  <property fmtid="{D5CDD505-2E9C-101B-9397-08002B2CF9AE}" pid="5" name="MSIP_Label_3976fa30-1907-4356-8241-62ea5e1c0256_Name">
    <vt:lpwstr>ESA UNCLASSIFIED – For ESA Official Use Only</vt:lpwstr>
  </property>
  <property fmtid="{D5CDD505-2E9C-101B-9397-08002B2CF9AE}" pid="6" name="MSIP_Label_3976fa30-1907-4356-8241-62ea5e1c0256_SiteId">
    <vt:lpwstr>9a5cacd0-2bef-4dd7-ac5c-7ebe1f54f495</vt:lpwstr>
  </property>
  <property fmtid="{D5CDD505-2E9C-101B-9397-08002B2CF9AE}" pid="7" name="MSIP_Label_3976fa30-1907-4356-8241-62ea5e1c0256_ActionId">
    <vt:lpwstr>d8dfa894-9e05-41f7-b6b2-2c98086eec37</vt:lpwstr>
  </property>
  <property fmtid="{D5CDD505-2E9C-101B-9397-08002B2CF9AE}" pid="8" name="MSIP_Label_3976fa30-1907-4356-8241-62ea5e1c0256_ContentBits">
    <vt:lpwstr>0</vt:lpwstr>
  </property>
</Properties>
</file>