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41ED8" w:rsidRDefault="00000000">
      <w:pPr>
        <w:jc w:val="center"/>
        <w:rPr>
          <w:rFonts w:ascii="Arial" w:eastAsia="Arial" w:hAnsi="Arial" w:cs="Arial"/>
          <w:b/>
        </w:rPr>
      </w:pPr>
      <w:r>
        <w:rPr>
          <w:rFonts w:ascii="Arial" w:eastAsia="Arial" w:hAnsi="Arial" w:cs="Arial"/>
          <w:b/>
        </w:rPr>
        <w:t>PDC2025</w:t>
      </w:r>
    </w:p>
    <w:p w14:paraId="00000002" w14:textId="77777777" w:rsidR="00441ED8"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441ED8" w:rsidRDefault="00441ED8">
      <w:pPr>
        <w:jc w:val="center"/>
        <w:rPr>
          <w:rFonts w:ascii="Arial" w:eastAsia="Arial" w:hAnsi="Arial" w:cs="Arial"/>
          <w:b/>
        </w:rPr>
      </w:pPr>
    </w:p>
    <w:p w14:paraId="00000004" w14:textId="77777777" w:rsidR="00441ED8" w:rsidRDefault="00441ED8">
      <w:pPr>
        <w:jc w:val="center"/>
        <w:rPr>
          <w:rFonts w:ascii="Arial" w:eastAsia="Arial" w:hAnsi="Arial" w:cs="Arial"/>
          <w:b/>
        </w:rPr>
      </w:pPr>
    </w:p>
    <w:p w14:paraId="00000005" w14:textId="77777777" w:rsidR="00441ED8" w:rsidRDefault="00000000">
      <w:pPr>
        <w:jc w:val="center"/>
        <w:rPr>
          <w:rFonts w:ascii="Arial" w:eastAsia="Arial" w:hAnsi="Arial" w:cs="Arial"/>
          <w:i/>
        </w:rPr>
      </w:pPr>
      <w:r>
        <w:rPr>
          <w:rFonts w:ascii="Arial" w:eastAsia="Arial" w:hAnsi="Arial" w:cs="Arial"/>
          <w:i/>
        </w:rPr>
        <w:t xml:space="preserve">Please submit your abstract at </w:t>
      </w:r>
      <w:hyperlink r:id="rId7">
        <w:r w:rsidR="00441ED8">
          <w:rPr>
            <w:rFonts w:ascii="Arial" w:eastAsia="Arial" w:hAnsi="Arial" w:cs="Arial"/>
            <w:i/>
            <w:color w:val="0000FF"/>
            <w:u w:val="single"/>
          </w:rPr>
          <w:t>https://iaaspace.org/pdc</w:t>
        </w:r>
      </w:hyperlink>
      <w:r>
        <w:rPr>
          <w:rFonts w:ascii="Arial" w:eastAsia="Arial" w:hAnsi="Arial" w:cs="Arial"/>
          <w:i/>
        </w:rPr>
        <w:t>.</w:t>
      </w:r>
    </w:p>
    <w:p w14:paraId="00000006" w14:textId="77777777" w:rsidR="00441ED8" w:rsidRDefault="00441ED8">
      <w:pPr>
        <w:jc w:val="center"/>
        <w:rPr>
          <w:rFonts w:ascii="Arial" w:eastAsia="Arial" w:hAnsi="Arial" w:cs="Arial"/>
          <w:b/>
        </w:rPr>
      </w:pPr>
    </w:p>
    <w:p w14:paraId="00000007" w14:textId="77777777" w:rsidR="00441ED8"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441ED8"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441ED8" w:rsidRDefault="00441ED8">
      <w:pPr>
        <w:jc w:val="center"/>
        <w:rPr>
          <w:rFonts w:ascii="Arial" w:eastAsia="Arial" w:hAnsi="Arial" w:cs="Arial"/>
          <w:i/>
        </w:rPr>
      </w:pPr>
    </w:p>
    <w:p w14:paraId="0000000A" w14:textId="77777777" w:rsidR="00441ED8"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180C87A6" w:rsidR="00441ED8" w:rsidRDefault="00080F88">
      <w:pPr>
        <w:rPr>
          <w:rFonts w:ascii="Arial" w:eastAsia="Arial" w:hAnsi="Arial" w:cs="Arial"/>
          <w:b/>
        </w:rPr>
      </w:pPr>
      <w:r>
        <w:rPr>
          <w:rFonts w:ascii="Arial" w:eastAsia="Arial" w:hAnsi="Arial" w:cs="Arial"/>
          <w:b/>
        </w:rPr>
        <w:t>x</w:t>
      </w:r>
      <w:r w:rsidR="00000000">
        <w:rPr>
          <w:rFonts w:ascii="Arial" w:eastAsia="Arial" w:hAnsi="Arial" w:cs="Arial"/>
          <w:b/>
        </w:rPr>
        <w:t xml:space="preserve"> </w:t>
      </w:r>
      <w:r>
        <w:rPr>
          <w:rFonts w:ascii="Arial" w:eastAsia="Arial" w:hAnsi="Arial" w:cs="Arial"/>
          <w:b/>
        </w:rPr>
        <w:t xml:space="preserve"> </w:t>
      </w:r>
      <w:r w:rsidR="00000000">
        <w:rPr>
          <w:rFonts w:ascii="Arial" w:eastAsia="Arial" w:hAnsi="Arial" w:cs="Arial"/>
          <w:b/>
        </w:rPr>
        <w:t>Apophis: T-4 Years</w:t>
      </w:r>
    </w:p>
    <w:p w14:paraId="0000000C" w14:textId="77777777" w:rsidR="00441ED8" w:rsidRDefault="00000000">
      <w:pPr>
        <w:rPr>
          <w:rFonts w:ascii="Arial" w:eastAsia="Arial" w:hAnsi="Arial" w:cs="Arial"/>
          <w:b/>
        </w:rPr>
      </w:pPr>
      <w:r>
        <w:rPr>
          <w:rFonts w:ascii="Arial" w:eastAsia="Arial" w:hAnsi="Arial" w:cs="Arial"/>
          <w:b/>
        </w:rPr>
        <w:t>☐ Hypothetical Asteroid Threat Exercise</w:t>
      </w:r>
    </w:p>
    <w:p w14:paraId="0000000D" w14:textId="77777777" w:rsidR="00441ED8" w:rsidRDefault="00000000">
      <w:pPr>
        <w:rPr>
          <w:rFonts w:ascii="Arial" w:eastAsia="Arial" w:hAnsi="Arial" w:cs="Arial"/>
          <w:b/>
        </w:rPr>
      </w:pPr>
      <w:r>
        <w:rPr>
          <w:rFonts w:ascii="Arial" w:eastAsia="Arial" w:hAnsi="Arial" w:cs="Arial"/>
          <w:b/>
        </w:rPr>
        <w:t>☐ Key International and Policy Developments</w:t>
      </w:r>
    </w:p>
    <w:p w14:paraId="0000000E" w14:textId="77777777" w:rsidR="00441ED8" w:rsidRDefault="00000000">
      <w:pPr>
        <w:rPr>
          <w:rFonts w:ascii="Arial" w:eastAsia="Arial" w:hAnsi="Arial" w:cs="Arial"/>
          <w:b/>
        </w:rPr>
      </w:pPr>
      <w:r>
        <w:rPr>
          <w:rFonts w:ascii="Arial" w:eastAsia="Arial" w:hAnsi="Arial" w:cs="Arial"/>
          <w:b/>
        </w:rPr>
        <w:t>☐ Near-Earth Object (NEO) Discovery</w:t>
      </w:r>
    </w:p>
    <w:p w14:paraId="0000000F" w14:textId="77777777" w:rsidR="00441ED8" w:rsidRDefault="00000000">
      <w:pPr>
        <w:rPr>
          <w:rFonts w:ascii="Arial" w:eastAsia="Arial" w:hAnsi="Arial" w:cs="Arial"/>
          <w:b/>
        </w:rPr>
      </w:pPr>
      <w:r>
        <w:rPr>
          <w:rFonts w:ascii="Arial" w:eastAsia="Arial" w:hAnsi="Arial" w:cs="Arial"/>
          <w:b/>
        </w:rPr>
        <w:t>☐ NEO Characterization</w:t>
      </w:r>
    </w:p>
    <w:p w14:paraId="00000010" w14:textId="77777777" w:rsidR="00441ED8" w:rsidRDefault="00000000">
      <w:pPr>
        <w:rPr>
          <w:rFonts w:ascii="Arial" w:eastAsia="Arial" w:hAnsi="Arial" w:cs="Arial"/>
          <w:b/>
        </w:rPr>
      </w:pPr>
      <w:r>
        <w:rPr>
          <w:rFonts w:ascii="Arial" w:eastAsia="Arial" w:hAnsi="Arial" w:cs="Arial"/>
          <w:b/>
        </w:rPr>
        <w:t>☐ Deflection / Disruption Modeling &amp; Testing</w:t>
      </w:r>
    </w:p>
    <w:p w14:paraId="00000011" w14:textId="77777777" w:rsidR="00441ED8" w:rsidRDefault="00000000">
      <w:pPr>
        <w:rPr>
          <w:rFonts w:ascii="Arial" w:eastAsia="Arial" w:hAnsi="Arial" w:cs="Arial"/>
          <w:b/>
        </w:rPr>
      </w:pPr>
      <w:r>
        <w:rPr>
          <w:rFonts w:ascii="Arial" w:eastAsia="Arial" w:hAnsi="Arial" w:cs="Arial"/>
          <w:b/>
        </w:rPr>
        <w:t>☐ Space Mission &amp; Campaign Design</w:t>
      </w:r>
    </w:p>
    <w:p w14:paraId="00000012" w14:textId="77777777" w:rsidR="00441ED8" w:rsidRDefault="00000000">
      <w:pPr>
        <w:rPr>
          <w:rFonts w:ascii="Arial" w:eastAsia="Arial" w:hAnsi="Arial" w:cs="Arial"/>
          <w:b/>
        </w:rPr>
      </w:pPr>
      <w:r>
        <w:rPr>
          <w:rFonts w:ascii="Arial" w:eastAsia="Arial" w:hAnsi="Arial" w:cs="Arial"/>
          <w:b/>
        </w:rPr>
        <w:t>☐ Earth Impact Effects &amp; Consequences</w:t>
      </w:r>
    </w:p>
    <w:p w14:paraId="00000013" w14:textId="77777777" w:rsidR="00441ED8" w:rsidRDefault="00000000">
      <w:pPr>
        <w:rPr>
          <w:rFonts w:ascii="Arial" w:eastAsia="Arial" w:hAnsi="Arial" w:cs="Arial"/>
          <w:b/>
        </w:rPr>
      </w:pPr>
      <w:r>
        <w:rPr>
          <w:rFonts w:ascii="Arial" w:eastAsia="Arial" w:hAnsi="Arial" w:cs="Arial"/>
          <w:b/>
        </w:rPr>
        <w:t>☐ Disaster Management &amp; Impact Response</w:t>
      </w:r>
    </w:p>
    <w:p w14:paraId="00000014" w14:textId="77777777" w:rsidR="00441ED8" w:rsidRDefault="00000000">
      <w:pPr>
        <w:rPr>
          <w:rFonts w:ascii="Arial" w:eastAsia="Arial" w:hAnsi="Arial" w:cs="Arial"/>
          <w:b/>
        </w:rPr>
      </w:pPr>
      <w:r>
        <w:rPr>
          <w:rFonts w:ascii="Arial" w:eastAsia="Arial" w:hAnsi="Arial" w:cs="Arial"/>
          <w:b/>
        </w:rPr>
        <w:t>☐ Public Education and Communication</w:t>
      </w:r>
    </w:p>
    <w:p w14:paraId="00000015" w14:textId="5EFD5147" w:rsidR="00441ED8" w:rsidRDefault="00080F88">
      <w:pPr>
        <w:rPr>
          <w:rFonts w:ascii="Arial" w:eastAsia="Arial" w:hAnsi="Arial" w:cs="Arial"/>
          <w:b/>
        </w:rPr>
      </w:pPr>
      <w:r>
        <w:rPr>
          <w:rFonts w:ascii="Segoe UI Symbol" w:eastAsia="Arial" w:hAnsi="Segoe UI Symbol" w:cs="Segoe UI Symbol"/>
          <w:b/>
        </w:rPr>
        <w:t>☐</w:t>
      </w:r>
      <w:r w:rsidR="007F3218">
        <w:rPr>
          <w:rFonts w:ascii="Arial" w:eastAsia="Arial" w:hAnsi="Arial" w:cs="Arial"/>
          <w:b/>
        </w:rPr>
        <w:t xml:space="preserve"> The Decision to Act: Political, Legal, Social, and Economic Aspects</w:t>
      </w:r>
    </w:p>
    <w:p w14:paraId="00000016" w14:textId="77777777" w:rsidR="00441ED8" w:rsidRDefault="00441ED8">
      <w:pPr>
        <w:jc w:val="center"/>
        <w:rPr>
          <w:rFonts w:ascii="Arial" w:eastAsia="Arial" w:hAnsi="Arial" w:cs="Arial"/>
          <w:b/>
        </w:rPr>
      </w:pPr>
    </w:p>
    <w:p w14:paraId="00000017" w14:textId="77777777" w:rsidR="00441ED8" w:rsidRDefault="00441ED8">
      <w:pPr>
        <w:jc w:val="center"/>
        <w:rPr>
          <w:rFonts w:ascii="Arial" w:eastAsia="Arial" w:hAnsi="Arial" w:cs="Arial"/>
          <w:b/>
        </w:rPr>
      </w:pPr>
    </w:p>
    <w:p w14:paraId="00000018" w14:textId="06876925" w:rsidR="00441ED8" w:rsidRDefault="00080F88">
      <w:pPr>
        <w:jc w:val="center"/>
        <w:rPr>
          <w:rFonts w:ascii="Arial" w:eastAsia="Arial" w:hAnsi="Arial" w:cs="Arial"/>
          <w:b/>
        </w:rPr>
      </w:pPr>
      <w:r>
        <w:rPr>
          <w:rFonts w:ascii="Arial" w:eastAsia="Arial" w:hAnsi="Arial" w:cs="Arial"/>
          <w:b/>
        </w:rPr>
        <w:t>Rapid Apophis Characterization with Two Satellites (RA’s CATS): Residual Mission Benefit for NEO Tracking and Characterization</w:t>
      </w:r>
    </w:p>
    <w:p w14:paraId="00000019" w14:textId="77777777" w:rsidR="00441ED8" w:rsidRDefault="00441ED8">
      <w:pPr>
        <w:rPr>
          <w:rFonts w:ascii="Arial" w:eastAsia="Arial" w:hAnsi="Arial" w:cs="Arial"/>
          <w:b/>
        </w:rPr>
      </w:pPr>
    </w:p>
    <w:p w14:paraId="0000001A" w14:textId="202686BD" w:rsidR="00441ED8" w:rsidRDefault="00080F88">
      <w:pPr>
        <w:jc w:val="center"/>
        <w:rPr>
          <w:rFonts w:ascii="Arial" w:eastAsia="Arial" w:hAnsi="Arial" w:cs="Arial"/>
          <w:b/>
        </w:rPr>
      </w:pPr>
      <w:r>
        <w:rPr>
          <w:rFonts w:ascii="Arial" w:eastAsia="Arial" w:hAnsi="Arial" w:cs="Arial"/>
          <w:b/>
        </w:rPr>
        <w:t>Nathan Golovich</w:t>
      </w:r>
      <w:r>
        <w:rPr>
          <w:rFonts w:ascii="Arial" w:eastAsia="Arial" w:hAnsi="Arial" w:cs="Arial"/>
          <w:vertAlign w:val="superscript"/>
        </w:rPr>
        <w:t xml:space="preserve"> </w:t>
      </w:r>
      <w:r w:rsidR="007F3218">
        <w:rPr>
          <w:rFonts w:ascii="Arial" w:eastAsia="Arial" w:hAnsi="Arial" w:cs="Arial"/>
          <w:vertAlign w:val="superscript"/>
        </w:rPr>
        <w:t>(</w:t>
      </w:r>
      <w:r>
        <w:rPr>
          <w:rFonts w:ascii="Arial" w:eastAsia="Arial" w:hAnsi="Arial" w:cs="Arial"/>
          <w:vertAlign w:val="superscript"/>
        </w:rPr>
        <w:t>1</w:t>
      </w:r>
      <w:r w:rsidR="007F3218">
        <w:rPr>
          <w:rFonts w:ascii="Arial" w:eastAsia="Arial" w:hAnsi="Arial" w:cs="Arial"/>
          <w:vertAlign w:val="superscript"/>
        </w:rPr>
        <w:t>)</w:t>
      </w:r>
    </w:p>
    <w:p w14:paraId="0000001C" w14:textId="58DA9EDA" w:rsidR="00441ED8" w:rsidRDefault="00000000">
      <w:pPr>
        <w:jc w:val="center"/>
        <w:rPr>
          <w:rFonts w:ascii="Arial" w:eastAsia="Arial" w:hAnsi="Arial" w:cs="Arial"/>
        </w:rPr>
      </w:pPr>
      <w:r>
        <w:rPr>
          <w:rFonts w:ascii="Arial" w:eastAsia="Arial" w:hAnsi="Arial" w:cs="Arial"/>
          <w:vertAlign w:val="superscript"/>
        </w:rPr>
        <w:t>(</w:t>
      </w:r>
      <w:r w:rsidR="00754BE1">
        <w:rPr>
          <w:rFonts w:ascii="Arial" w:eastAsia="Arial" w:hAnsi="Arial" w:cs="Arial"/>
          <w:vertAlign w:val="superscript"/>
        </w:rPr>
        <w:t>1</w:t>
      </w:r>
      <w:r>
        <w:rPr>
          <w:rFonts w:ascii="Arial" w:eastAsia="Arial" w:hAnsi="Arial" w:cs="Arial"/>
          <w:vertAlign w:val="superscript"/>
        </w:rPr>
        <w:t>)</w:t>
      </w:r>
      <w:r>
        <w:rPr>
          <w:rFonts w:ascii="Arial" w:eastAsia="Arial" w:hAnsi="Arial" w:cs="Arial"/>
          <w:i/>
        </w:rPr>
        <w:t xml:space="preserve"> </w:t>
      </w:r>
      <w:r w:rsidR="007F3218">
        <w:rPr>
          <w:rFonts w:ascii="Arial" w:eastAsia="Arial" w:hAnsi="Arial" w:cs="Arial"/>
          <w:i/>
        </w:rPr>
        <w:t xml:space="preserve">Lawrence Livermore National Lab, </w:t>
      </w:r>
      <w:r w:rsidR="007F3218" w:rsidRPr="007F3218">
        <w:rPr>
          <w:rFonts w:ascii="Arial" w:eastAsia="Arial" w:hAnsi="Arial" w:cs="Arial"/>
          <w:i/>
        </w:rPr>
        <w:t>Livermore, CA 94550</w:t>
      </w:r>
      <w:r w:rsidR="00F45396">
        <w:rPr>
          <w:rFonts w:ascii="Arial" w:eastAsia="Arial" w:hAnsi="Arial" w:cs="Arial"/>
          <w:i/>
        </w:rPr>
        <w:t xml:space="preserve">. </w:t>
      </w:r>
      <w:hyperlink r:id="rId8" w:history="1">
        <w:r w:rsidR="00080F88" w:rsidRPr="00422F01">
          <w:rPr>
            <w:rStyle w:val="Hyperlink"/>
          </w:rPr>
          <w:t>golovich1@llnl.gov</w:t>
        </w:r>
      </w:hyperlink>
      <w:r w:rsidR="00080F88">
        <w:t xml:space="preserve"> </w:t>
      </w:r>
    </w:p>
    <w:p w14:paraId="0000001D" w14:textId="77777777" w:rsidR="00441ED8" w:rsidRDefault="00441ED8">
      <w:pPr>
        <w:jc w:val="center"/>
        <w:rPr>
          <w:rFonts w:ascii="Arial" w:eastAsia="Arial" w:hAnsi="Arial" w:cs="Arial"/>
        </w:rPr>
      </w:pPr>
    </w:p>
    <w:p w14:paraId="0000001E" w14:textId="289AF00D" w:rsidR="00441ED8"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080F88">
        <w:rPr>
          <w:rFonts w:ascii="Arial" w:eastAsia="Arial" w:hAnsi="Arial" w:cs="Arial"/>
          <w:i/>
        </w:rPr>
        <w:t>Apophis</w:t>
      </w:r>
      <w:r w:rsidR="007F3218">
        <w:rPr>
          <w:rFonts w:ascii="Arial" w:eastAsia="Arial" w:hAnsi="Arial" w:cs="Arial"/>
          <w:i/>
        </w:rPr>
        <w:t xml:space="preserve">, </w:t>
      </w:r>
      <w:r w:rsidR="00080F88">
        <w:rPr>
          <w:rFonts w:ascii="Arial" w:eastAsia="Arial" w:hAnsi="Arial" w:cs="Arial"/>
          <w:i/>
        </w:rPr>
        <w:t>Space missions</w:t>
      </w:r>
      <w:r w:rsidR="007F3218">
        <w:rPr>
          <w:rFonts w:ascii="Arial" w:eastAsia="Arial" w:hAnsi="Arial" w:cs="Arial"/>
          <w:i/>
        </w:rPr>
        <w:t>,</w:t>
      </w:r>
      <w:r w:rsidR="00080F88">
        <w:rPr>
          <w:rFonts w:ascii="Arial" w:eastAsia="Arial" w:hAnsi="Arial" w:cs="Arial"/>
          <w:i/>
        </w:rPr>
        <w:t xml:space="preserve"> Asteroids</w:t>
      </w:r>
    </w:p>
    <w:p w14:paraId="0000001F" w14:textId="77777777" w:rsidR="00441ED8" w:rsidRDefault="00441ED8">
      <w:pPr>
        <w:rPr>
          <w:rFonts w:ascii="Arial" w:eastAsia="Arial" w:hAnsi="Arial" w:cs="Arial"/>
        </w:rPr>
      </w:pPr>
    </w:p>
    <w:p w14:paraId="0BF82E36" w14:textId="77777777" w:rsidR="00080F88" w:rsidRDefault="00080F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flyby of Apophis in 2029 offers an opportunity to prove out rapid planetary defense mission concepts from Earth orbit. We will present a mission concept developed at Lawrence Livermore National Laboratory that achieves key planetary defense objectives of characterizing Apophis with two small satellites placed in flyby orbits from GTO. The spacecraft will be equipped with 25cm aperture optical telescopes capable of high resolution imagery during the Apophis flyby on April 13, 2029. </w:t>
      </w:r>
    </w:p>
    <w:p w14:paraId="77929E68" w14:textId="77777777" w:rsidR="00080F88" w:rsidRDefault="00080F88">
      <w:pPr>
        <w:pBdr>
          <w:top w:val="nil"/>
          <w:left w:val="nil"/>
          <w:bottom w:val="nil"/>
          <w:right w:val="nil"/>
          <w:between w:val="nil"/>
        </w:pBdr>
        <w:jc w:val="both"/>
        <w:rPr>
          <w:rFonts w:ascii="Arial" w:eastAsia="Arial" w:hAnsi="Arial" w:cs="Arial"/>
          <w:color w:val="000000"/>
        </w:rPr>
      </w:pPr>
    </w:p>
    <w:p w14:paraId="6076BC1F" w14:textId="2D4915F3" w:rsidR="00080F88" w:rsidRDefault="00080F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After the consecutive Apophis encounters, the spacecraft will become useful planetary defense assets at a time when the Vera Rubin Observatory and NEO Surveyor are detecting a large number of potentially hazardous asteroids for the first time. These asteroids will be submitted to the Minor Planet Center as all new discoveries are, but the faint magnitude limits of the Rubin Observatory and the complicated observing conditions from the ground for NEO Surveyor detections will pose challenges for following up new discoveries.</w:t>
      </w:r>
    </w:p>
    <w:p w14:paraId="7839B55B" w14:textId="77777777" w:rsidR="00080F88" w:rsidRDefault="00080F88">
      <w:pPr>
        <w:pBdr>
          <w:top w:val="nil"/>
          <w:left w:val="nil"/>
          <w:bottom w:val="nil"/>
          <w:right w:val="nil"/>
          <w:between w:val="nil"/>
        </w:pBdr>
        <w:jc w:val="both"/>
        <w:rPr>
          <w:rFonts w:ascii="Arial" w:eastAsia="Arial" w:hAnsi="Arial" w:cs="Arial"/>
          <w:color w:val="000000"/>
        </w:rPr>
      </w:pPr>
    </w:p>
    <w:p w14:paraId="0D30F3A6" w14:textId="252E6345" w:rsidR="004555EC" w:rsidRDefault="00080F8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paper offers an analysis of the performance of two 25 cm optical telescopes in the proposed orbits of our mission concept. These orbits are accessible by GTO </w:t>
      </w:r>
      <w:r>
        <w:rPr>
          <w:rFonts w:ascii="Arial" w:eastAsia="Arial" w:hAnsi="Arial" w:cs="Arial"/>
          <w:color w:val="000000"/>
        </w:rPr>
        <w:lastRenderedPageBreak/>
        <w:t xml:space="preserve">rideshare to flyby Apophis. Residual fuel will allow for maneuvers to regularize the orbits and prepare for a dedicated residual mission of NEO tracking for orbit refinement and characterization. The two satellites will allow for simultaneous binocular observations with a long baseline. This will enable rapid orbit refinement and characterization with broad-band photometry in the visible band. </w:t>
      </w:r>
    </w:p>
    <w:p w14:paraId="1D2DBC71" w14:textId="77777777" w:rsidR="003B33EA" w:rsidRDefault="003B33EA">
      <w:pPr>
        <w:pBdr>
          <w:top w:val="nil"/>
          <w:left w:val="nil"/>
          <w:bottom w:val="nil"/>
          <w:right w:val="nil"/>
          <w:between w:val="nil"/>
        </w:pBdr>
        <w:jc w:val="both"/>
        <w:rPr>
          <w:rFonts w:ascii="Arial" w:eastAsia="Arial" w:hAnsi="Arial" w:cs="Arial"/>
          <w:color w:val="000000"/>
        </w:rPr>
      </w:pPr>
    </w:p>
    <w:p w14:paraId="00000030" w14:textId="5E0C8264" w:rsidR="00441ED8" w:rsidRDefault="00080F88">
      <w:pPr>
        <w:pBdr>
          <w:top w:val="nil"/>
          <w:left w:val="nil"/>
          <w:bottom w:val="nil"/>
          <w:right w:val="nil"/>
          <w:between w:val="nil"/>
        </w:pBdr>
        <w:jc w:val="both"/>
        <w:rPr>
          <w:rFonts w:ascii="Arial" w:eastAsia="Arial" w:hAnsi="Arial" w:cs="Arial"/>
          <w:color w:val="000000"/>
        </w:rPr>
      </w:pPr>
      <w:r w:rsidRPr="00080F88">
        <w:rPr>
          <w:rFonts w:ascii="Arial" w:eastAsia="Arial" w:hAnsi="Arial" w:cs="Arial"/>
          <w:color w:val="000000"/>
        </w:rPr>
        <w:t>This work was performed under the auspices of the U.S. Department of Energy by Lawrence Livermore National Laboratory under contract DE-AC52-07NA27344. Lawrence Livermore National Security, LLC</w:t>
      </w:r>
      <w:r>
        <w:rPr>
          <w:rFonts w:ascii="Arial" w:eastAsia="Arial" w:hAnsi="Arial" w:cs="Arial"/>
          <w:color w:val="000000"/>
        </w:rPr>
        <w:t xml:space="preserve">. </w:t>
      </w:r>
    </w:p>
    <w:p w14:paraId="00000037" w14:textId="647C2073" w:rsidR="00441ED8" w:rsidRDefault="00441ED8">
      <w:pPr>
        <w:pBdr>
          <w:top w:val="nil"/>
          <w:left w:val="nil"/>
          <w:bottom w:val="nil"/>
          <w:right w:val="nil"/>
          <w:between w:val="nil"/>
        </w:pBdr>
        <w:jc w:val="both"/>
        <w:rPr>
          <w:rFonts w:ascii="Arial" w:eastAsia="Arial" w:hAnsi="Arial" w:cs="Arial"/>
          <w:i/>
          <w:color w:val="000000"/>
          <w:sz w:val="22"/>
          <w:szCs w:val="22"/>
        </w:rPr>
      </w:pPr>
    </w:p>
    <w:sectPr w:rsidR="00441ED8">
      <w:footerReference w:type="default" r:id="rId9"/>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D58C3" w14:textId="77777777" w:rsidR="00B029E2" w:rsidRDefault="00B029E2">
      <w:r>
        <w:separator/>
      </w:r>
    </w:p>
  </w:endnote>
  <w:endnote w:type="continuationSeparator" w:id="0">
    <w:p w14:paraId="7F144588" w14:textId="77777777" w:rsidR="00B029E2" w:rsidRDefault="00B0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E38FFA-85DA-8347-B53F-C1EC598DC208}"/>
  </w:font>
  <w:font w:name="Courier New">
    <w:panose1 w:val="02070309020205020404"/>
    <w:charset w:val="00"/>
    <w:family w:val="modern"/>
    <w:pitch w:val="fixed"/>
    <w:sig w:usb0="E0002AFF" w:usb1="C0007843" w:usb2="00000009" w:usb3="00000000" w:csb0="000001FF" w:csb1="00000000"/>
    <w:embedRegular r:id="rId2" w:fontKey="{A4F21CCC-F4E2-944D-B889-69E8E94AD902}"/>
  </w:font>
  <w:font w:name="Cambria">
    <w:panose1 w:val="02040503050406030204"/>
    <w:charset w:val="00"/>
    <w:family w:val="roman"/>
    <w:pitch w:val="variable"/>
    <w:sig w:usb0="E00002FF" w:usb1="400004FF" w:usb2="00000000" w:usb3="00000000" w:csb0="0000019F" w:csb1="00000000"/>
    <w:embedRegular r:id="rId3" w:fontKey="{1472EDE5-ED1D-F747-AD98-BB32EB0C6835}"/>
    <w:embedBold r:id="rId4" w:fontKey="{D9A15CE0-6D1D-1A49-88B6-47333A9A4692}"/>
  </w:font>
  <w:font w:name="Times New Roman">
    <w:panose1 w:val="02020603050405020304"/>
    <w:charset w:val="00"/>
    <w:family w:val="roman"/>
    <w:pitch w:val="variable"/>
    <w:sig w:usb0="E0002EFF" w:usb1="C000785B" w:usb2="00000009" w:usb3="00000000" w:csb0="000001FF" w:csb1="00000000"/>
    <w:embedRegular r:id="rId5" w:fontKey="{F60883C0-C1F1-5246-8C54-E611F134F153}"/>
    <w:embedBold r:id="rId6" w:fontKey="{980CAB29-568A-B946-80D7-ACE2B878671C}"/>
  </w:font>
  <w:font w:name="Georgia">
    <w:panose1 w:val="02040502050405020303"/>
    <w:charset w:val="00"/>
    <w:family w:val="roman"/>
    <w:pitch w:val="variable"/>
    <w:sig w:usb0="00000287" w:usb1="00000000" w:usb2="00000000" w:usb3="00000000" w:csb0="0000009F" w:csb1="00000000"/>
    <w:embedRegular r:id="rId7" w:fontKey="{EFF71209-4E02-1B43-90DD-614D871492CA}"/>
    <w:embedItalic r:id="rId8" w:fontKey="{7F42812E-D219-2C4F-8EFC-78EA1C534A34}"/>
  </w:font>
  <w:font w:name="Arial">
    <w:panose1 w:val="020B0604020202020204"/>
    <w:charset w:val="00"/>
    <w:family w:val="swiss"/>
    <w:pitch w:val="variable"/>
    <w:sig w:usb0="E0002AFF" w:usb1="C0007843" w:usb2="00000009" w:usb3="00000000" w:csb0="000001FF" w:csb1="00000000"/>
    <w:embedRegular r:id="rId9" w:fontKey="{3C092196-0BB3-CD42-9B66-DC7FA715766B}"/>
    <w:embedBold r:id="rId10" w:fontKey="{BD06622A-2996-4243-B665-797D55620710}"/>
    <w:embedItalic r:id="rId11" w:fontKey="{E1642AD9-F802-8348-AA2F-AF00D4EE9B38}"/>
    <w:embedBoldItalic r:id="rId12" w:fontKey="{2EE2084C-5196-2B4D-B628-22AB380091FD}"/>
  </w:font>
  <w:font w:name="Segoe UI Symbol">
    <w:panose1 w:val="020B0502040204020203"/>
    <w:charset w:val="00"/>
    <w:family w:val="swiss"/>
    <w:pitch w:val="variable"/>
    <w:sig w:usb0="800001E3" w:usb1="1200FFEF" w:usb2="00040000" w:usb3="00000000" w:csb0="00000001" w:csb1="00000000"/>
    <w:embedRegular r:id="rId13" w:fontKey="{F577EFF7-13AC-B845-88B3-2EEB3A93999C}"/>
    <w:embedBold r:id="rId14" w:fontKey="{8E807918-848B-0140-B529-098EDBFA89DC}"/>
  </w:font>
  <w:font w:name="Calibri">
    <w:panose1 w:val="020F0502020204030204"/>
    <w:charset w:val="00"/>
    <w:family w:val="swiss"/>
    <w:pitch w:val="variable"/>
    <w:sig w:usb0="E0002AFF" w:usb1="C000247B" w:usb2="00000009" w:usb3="00000000" w:csb0="000001FF" w:csb1="00000000"/>
    <w:embedRegular r:id="rId15" w:fontKey="{29CBFEF7-9E2B-1548-8AAA-EB7BC38E6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07EC19E2" w:rsidR="00441ED8"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7F3218">
      <w:rPr>
        <w:rFonts w:ascii="Arial" w:eastAsia="Arial" w:hAnsi="Arial" w:cs="Arial"/>
        <w:noProof/>
        <w:color w:val="000000"/>
      </w:rPr>
      <w:t>1</w:t>
    </w:r>
    <w:r>
      <w:rPr>
        <w:rFonts w:ascii="Arial" w:eastAsia="Arial" w:hAnsi="Arial" w:cs="Arial"/>
        <w:color w:val="000000"/>
      </w:rPr>
      <w:fldChar w:fldCharType="end"/>
    </w:r>
  </w:p>
  <w:p w14:paraId="00000039" w14:textId="77777777" w:rsidR="00441ED8" w:rsidRDefault="00441ED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FA6D2" w14:textId="77777777" w:rsidR="00B029E2" w:rsidRDefault="00B029E2">
      <w:r>
        <w:separator/>
      </w:r>
    </w:p>
  </w:footnote>
  <w:footnote w:type="continuationSeparator" w:id="0">
    <w:p w14:paraId="1128526C" w14:textId="77777777" w:rsidR="00B029E2" w:rsidRDefault="00B029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11B6A"/>
    <w:multiLevelType w:val="multilevel"/>
    <w:tmpl w:val="D19E4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3722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ED8"/>
    <w:rsid w:val="00080F88"/>
    <w:rsid w:val="000D63FD"/>
    <w:rsid w:val="00102AFD"/>
    <w:rsid w:val="00115B9D"/>
    <w:rsid w:val="001C1B97"/>
    <w:rsid w:val="00201D49"/>
    <w:rsid w:val="00215C30"/>
    <w:rsid w:val="002717C1"/>
    <w:rsid w:val="002E12D0"/>
    <w:rsid w:val="003B33EA"/>
    <w:rsid w:val="004334AB"/>
    <w:rsid w:val="00441ED8"/>
    <w:rsid w:val="00451AF4"/>
    <w:rsid w:val="004555EC"/>
    <w:rsid w:val="004B7363"/>
    <w:rsid w:val="004C6BEB"/>
    <w:rsid w:val="004D4C1B"/>
    <w:rsid w:val="00505A2A"/>
    <w:rsid w:val="00563546"/>
    <w:rsid w:val="0056433C"/>
    <w:rsid w:val="00577B91"/>
    <w:rsid w:val="005D1DE1"/>
    <w:rsid w:val="00677608"/>
    <w:rsid w:val="00754BE1"/>
    <w:rsid w:val="007B42AB"/>
    <w:rsid w:val="007F3218"/>
    <w:rsid w:val="00874E90"/>
    <w:rsid w:val="00992996"/>
    <w:rsid w:val="00A45910"/>
    <w:rsid w:val="00A5141F"/>
    <w:rsid w:val="00B029E2"/>
    <w:rsid w:val="00B51703"/>
    <w:rsid w:val="00B52FD3"/>
    <w:rsid w:val="00B75036"/>
    <w:rsid w:val="00D172BC"/>
    <w:rsid w:val="00D46781"/>
    <w:rsid w:val="00D5440C"/>
    <w:rsid w:val="00D7109C"/>
    <w:rsid w:val="00D74255"/>
    <w:rsid w:val="00DB76DE"/>
    <w:rsid w:val="00DE2A84"/>
    <w:rsid w:val="00E64AD4"/>
    <w:rsid w:val="00E932BC"/>
    <w:rsid w:val="00EA0E02"/>
    <w:rsid w:val="00F02F47"/>
    <w:rsid w:val="00F1792C"/>
    <w:rsid w:val="00F26BDB"/>
    <w:rsid w:val="00F45396"/>
    <w:rsid w:val="00F75FFC"/>
    <w:rsid w:val="00F81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1D5DE1"/>
  <w15:docId w15:val="{99A456E7-6485-CF4B-91EC-C0C54BB1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45396"/>
    <w:rPr>
      <w:color w:val="0000FF" w:themeColor="hyperlink"/>
      <w:u w:val="single"/>
    </w:rPr>
  </w:style>
  <w:style w:type="character" w:styleId="UnresolvedMention">
    <w:name w:val="Unresolved Mention"/>
    <w:basedOn w:val="DefaultParagraphFont"/>
    <w:uiPriority w:val="99"/>
    <w:semiHidden/>
    <w:unhideWhenUsed/>
    <w:rsid w:val="00F45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olovich1@llnl.gov" TargetMode="Externa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Golovich, Nate</cp:lastModifiedBy>
  <cp:revision>4</cp:revision>
  <dcterms:created xsi:type="dcterms:W3CDTF">2024-12-17T17:57:00Z</dcterms:created>
  <dcterms:modified xsi:type="dcterms:W3CDTF">2024-12-17T18:54:00Z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