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17" w14:textId="77777777" w:rsidR="0042195B" w:rsidRDefault="0042195B">
      <w:pPr>
        <w:jc w:val="center"/>
        <w:rPr>
          <w:rFonts w:ascii="Arial" w:eastAsia="Arial" w:hAnsi="Arial" w:cs="Arial"/>
          <w:b/>
        </w:rPr>
      </w:pPr>
    </w:p>
    <w:p w14:paraId="6C4A7908" w14:textId="77777777" w:rsidR="008305A1" w:rsidRDefault="008305A1" w:rsidP="008305A1">
      <w:pPr>
        <w:jc w:val="center"/>
        <w:rPr>
          <w:rFonts w:asciiTheme="majorBidi" w:hAnsiTheme="majorBidi" w:cstheme="majorBidi"/>
          <w:b/>
          <w:bCs/>
        </w:rPr>
      </w:pPr>
      <w:r w:rsidRPr="003A6970">
        <w:rPr>
          <w:rFonts w:asciiTheme="majorBidi" w:hAnsiTheme="majorBidi" w:cstheme="majorBidi"/>
          <w:b/>
          <w:bCs/>
        </w:rPr>
        <w:t>Investigation of Near-Earth Objects Using the 1.88m Telescope at NRIAG, Egypt</w:t>
      </w:r>
    </w:p>
    <w:p w14:paraId="00000019" w14:textId="77777777" w:rsidR="0042195B" w:rsidRDefault="0042195B">
      <w:pPr>
        <w:rPr>
          <w:rFonts w:ascii="Arial" w:eastAsia="Arial" w:hAnsi="Arial" w:cs="Arial"/>
          <w:b/>
        </w:rPr>
      </w:pPr>
    </w:p>
    <w:p w14:paraId="0000001A" w14:textId="0852E6FE" w:rsidR="0042195B" w:rsidRDefault="008305A1">
      <w:pPr>
        <w:jc w:val="center"/>
        <w:rPr>
          <w:rFonts w:ascii="Arial" w:eastAsia="Arial" w:hAnsi="Arial" w:cs="Arial"/>
          <w:b/>
        </w:rPr>
      </w:pPr>
      <w:r>
        <w:rPr>
          <w:rFonts w:ascii="Arial" w:eastAsia="Arial" w:hAnsi="Arial" w:cs="Arial"/>
          <w:b/>
        </w:rPr>
        <w:t>Ahmed Moursi</w:t>
      </w:r>
      <w:r>
        <w:rPr>
          <w:rFonts w:ascii="Arial" w:eastAsia="Arial" w:hAnsi="Arial" w:cs="Arial"/>
          <w:vertAlign w:val="superscript"/>
        </w:rPr>
        <w:t xml:space="preserve"> (</w:t>
      </w:r>
      <w:r w:rsidR="00000000">
        <w:rPr>
          <w:rFonts w:ascii="Arial" w:eastAsia="Arial" w:hAnsi="Arial" w:cs="Arial"/>
          <w:vertAlign w:val="superscript"/>
        </w:rPr>
        <w:t>1)</w:t>
      </w:r>
      <w:r w:rsidR="00000000">
        <w:rPr>
          <w:rFonts w:ascii="Arial" w:eastAsia="Arial" w:hAnsi="Arial" w:cs="Arial"/>
          <w:b/>
        </w:rPr>
        <w:t xml:space="preserve">, </w:t>
      </w:r>
      <w:r>
        <w:rPr>
          <w:rFonts w:ascii="Arial" w:eastAsia="Arial" w:hAnsi="Arial" w:cs="Arial"/>
          <w:b/>
        </w:rPr>
        <w:t>Igor Molotov</w:t>
      </w:r>
      <w:r>
        <w:rPr>
          <w:rFonts w:ascii="Arial" w:eastAsia="Arial" w:hAnsi="Arial" w:cs="Arial"/>
          <w:vertAlign w:val="superscript"/>
        </w:rPr>
        <w:t xml:space="preserve"> (</w:t>
      </w:r>
      <w:r w:rsidR="00000000">
        <w:rPr>
          <w:rFonts w:ascii="Arial" w:eastAsia="Arial" w:hAnsi="Arial" w:cs="Arial"/>
          <w:vertAlign w:val="superscript"/>
        </w:rPr>
        <w:t>2)</w:t>
      </w:r>
    </w:p>
    <w:p w14:paraId="6442AA0B" w14:textId="11C1FCFD" w:rsidR="008305A1" w:rsidRDefault="00000000">
      <w:pPr>
        <w:jc w:val="center"/>
        <w:rPr>
          <w:rFonts w:ascii="Arial" w:eastAsia="Arial" w:hAnsi="Arial" w:cs="Arial"/>
          <w:i/>
        </w:rPr>
      </w:pPr>
      <w:r>
        <w:rPr>
          <w:rFonts w:ascii="Arial" w:eastAsia="Arial" w:hAnsi="Arial" w:cs="Arial"/>
          <w:vertAlign w:val="superscript"/>
        </w:rPr>
        <w:t>(1)</w:t>
      </w:r>
      <w:r w:rsidR="008305A1">
        <w:rPr>
          <w:rFonts w:ascii="Arial" w:eastAsia="Arial" w:hAnsi="Arial" w:cs="Arial"/>
          <w:vertAlign w:val="superscript"/>
        </w:rPr>
        <w:t xml:space="preserve"> </w:t>
      </w:r>
      <w:r w:rsidR="008305A1">
        <w:rPr>
          <w:rFonts w:ascii="Arial" w:eastAsia="Arial" w:hAnsi="Arial" w:cs="Arial"/>
          <w:i/>
        </w:rPr>
        <w:t>National Research Institute of Astronomy and Geophysics (NRIAG), Helwan, Cairo, Egypt</w:t>
      </w:r>
      <w:r>
        <w:rPr>
          <w:rFonts w:ascii="Arial" w:eastAsia="Arial" w:hAnsi="Arial" w:cs="Arial"/>
          <w:i/>
        </w:rPr>
        <w:t>,</w:t>
      </w:r>
      <w:r w:rsidR="008305A1">
        <w:rPr>
          <w:rFonts w:ascii="Arial" w:eastAsia="Arial" w:hAnsi="Arial" w:cs="Arial"/>
          <w:i/>
        </w:rPr>
        <w:t>11421.</w:t>
      </w:r>
    </w:p>
    <w:p w14:paraId="0000001C" w14:textId="35279C88" w:rsidR="0042195B" w:rsidRDefault="00000000" w:rsidP="008305A1">
      <w:pPr>
        <w:jc w:val="center"/>
        <w:rPr>
          <w:rFonts w:ascii="Arial" w:eastAsia="Arial" w:hAnsi="Arial" w:cs="Arial"/>
        </w:rPr>
      </w:pPr>
      <w:r>
        <w:rPr>
          <w:rFonts w:ascii="Arial" w:eastAsia="Arial" w:hAnsi="Arial" w:cs="Arial"/>
          <w:vertAlign w:val="superscript"/>
        </w:rPr>
        <w:t>(3)</w:t>
      </w:r>
      <w:r>
        <w:rPr>
          <w:rFonts w:ascii="Arial" w:eastAsia="Arial" w:hAnsi="Arial" w:cs="Arial"/>
          <w:i/>
        </w:rPr>
        <w:t xml:space="preserve"> </w:t>
      </w:r>
      <w:r w:rsidR="008305A1" w:rsidRPr="008305A1">
        <w:rPr>
          <w:rFonts w:ascii="Arial" w:eastAsia="Arial" w:hAnsi="Arial" w:cs="Arial"/>
          <w:i/>
        </w:rPr>
        <w:t>Keldysh Institute of Applied Mathematics, Russian Academy of Sciences, Miusskaya sq. 4, Moscow, 125047, Russia</w:t>
      </w:r>
    </w:p>
    <w:p w14:paraId="0000001D" w14:textId="77777777" w:rsidR="0042195B" w:rsidRDefault="0042195B">
      <w:pPr>
        <w:jc w:val="center"/>
        <w:rPr>
          <w:rFonts w:ascii="Arial" w:eastAsia="Arial" w:hAnsi="Arial" w:cs="Arial"/>
        </w:rPr>
      </w:pPr>
    </w:p>
    <w:p w14:paraId="0000001E" w14:textId="02CB8C22" w:rsidR="0042195B" w:rsidRDefault="00000000">
      <w:pPr>
        <w:jc w:val="both"/>
        <w:rPr>
          <w:rFonts w:ascii="Arial" w:eastAsia="Arial" w:hAnsi="Arial" w:cs="Arial"/>
          <w:i/>
        </w:rPr>
      </w:pPr>
      <w:r>
        <w:rPr>
          <w:rFonts w:ascii="Arial" w:eastAsia="Arial" w:hAnsi="Arial" w:cs="Arial"/>
          <w:b/>
          <w:i/>
        </w:rPr>
        <w:t>Keywords:</w:t>
      </w:r>
      <w:r>
        <w:rPr>
          <w:rFonts w:ascii="Arial" w:eastAsia="Arial" w:hAnsi="Arial" w:cs="Arial"/>
          <w:i/>
        </w:rPr>
        <w:t xml:space="preserve"> </w:t>
      </w:r>
      <w:r w:rsidR="008305A1">
        <w:rPr>
          <w:rFonts w:ascii="Arial" w:eastAsia="Arial" w:hAnsi="Arial" w:cs="Arial"/>
          <w:i/>
        </w:rPr>
        <w:t>NEOs discovery</w:t>
      </w:r>
      <w:r>
        <w:rPr>
          <w:rFonts w:ascii="Arial" w:eastAsia="Arial" w:hAnsi="Arial" w:cs="Arial"/>
          <w:i/>
        </w:rPr>
        <w:t xml:space="preserve">, </w:t>
      </w:r>
      <w:r w:rsidR="008305A1">
        <w:rPr>
          <w:rFonts w:ascii="Arial" w:eastAsia="Arial" w:hAnsi="Arial" w:cs="Arial"/>
          <w:i/>
        </w:rPr>
        <w:t>light curve</w:t>
      </w:r>
      <w:r>
        <w:rPr>
          <w:rFonts w:ascii="Arial" w:eastAsia="Arial" w:hAnsi="Arial" w:cs="Arial"/>
          <w:i/>
        </w:rPr>
        <w:t xml:space="preserve">, </w:t>
      </w:r>
      <w:r w:rsidR="008305A1">
        <w:rPr>
          <w:rFonts w:ascii="Arial" w:eastAsia="Arial" w:hAnsi="Arial" w:cs="Arial"/>
          <w:i/>
        </w:rPr>
        <w:t>rotation period, orbit determination</w:t>
      </w:r>
    </w:p>
    <w:p w14:paraId="0000001F" w14:textId="77777777" w:rsidR="0042195B" w:rsidRDefault="0042195B">
      <w:pPr>
        <w:rPr>
          <w:rFonts w:ascii="Arial" w:eastAsia="Arial" w:hAnsi="Arial" w:cs="Arial"/>
        </w:rPr>
      </w:pPr>
    </w:p>
    <w:p w14:paraId="0F690332" w14:textId="69E7314F" w:rsidR="008305A1" w:rsidRPr="003A6970" w:rsidRDefault="008305A1" w:rsidP="008305A1">
      <w:pPr>
        <w:pBdr>
          <w:top w:val="nil"/>
          <w:left w:val="nil"/>
          <w:bottom w:val="nil"/>
          <w:right w:val="nil"/>
          <w:between w:val="nil"/>
        </w:pBdr>
        <w:jc w:val="both"/>
        <w:rPr>
          <w:rFonts w:ascii="Arial" w:eastAsia="Arial" w:hAnsi="Arial" w:cs="Arial"/>
          <w:color w:val="000000"/>
        </w:rPr>
      </w:pPr>
      <w:r w:rsidRPr="003A6970">
        <w:rPr>
          <w:rFonts w:ascii="Arial" w:eastAsia="Arial" w:hAnsi="Arial" w:cs="Arial"/>
          <w:color w:val="000000"/>
        </w:rPr>
        <w:t xml:space="preserve">Near-Earth Objects (NEOs), encompassing both asteroids and comets, are celestial bodies whose trajectories bring them into proximity with Earth, presenting both scientific opportunities and potential collision risks. </w:t>
      </w:r>
      <w:r>
        <w:rPr>
          <w:rFonts w:ascii="Arial" w:eastAsia="Arial" w:hAnsi="Arial" w:cs="Arial"/>
          <w:color w:val="000000"/>
        </w:rPr>
        <w:t>A comprehensive</w:t>
      </w:r>
      <w:r w:rsidRPr="003A6970">
        <w:rPr>
          <w:rFonts w:ascii="Arial" w:eastAsia="Arial" w:hAnsi="Arial" w:cs="Arial"/>
          <w:color w:val="000000"/>
        </w:rPr>
        <w:t xml:space="preserve"> investigation of their physical characteristics, dynamical behaviors, and orbital evolutions is paramount for planetary defense strategies and advancing astrophysical knowledge. This study leverages the 1.88m telescope at the National Research Institute of Astronomy and Geophysics (NRIAG) in Egypt to conduct targeted observational campaigns of NEOs.</w:t>
      </w:r>
    </w:p>
    <w:p w14:paraId="4AAC59B9" w14:textId="77777777" w:rsidR="008305A1" w:rsidRPr="008305A1" w:rsidRDefault="008305A1" w:rsidP="008305A1">
      <w:pPr>
        <w:pBdr>
          <w:top w:val="nil"/>
          <w:left w:val="nil"/>
          <w:bottom w:val="nil"/>
          <w:right w:val="nil"/>
          <w:between w:val="nil"/>
        </w:pBdr>
        <w:jc w:val="both"/>
        <w:rPr>
          <w:rFonts w:ascii="Arial" w:eastAsia="Arial" w:hAnsi="Arial" w:cs="Arial"/>
          <w:color w:val="000000"/>
        </w:rPr>
      </w:pPr>
      <w:r w:rsidRPr="008305A1">
        <w:rPr>
          <w:rFonts w:ascii="Arial" w:eastAsia="Arial" w:hAnsi="Arial" w:cs="Arial"/>
          <w:color w:val="000000"/>
        </w:rPr>
        <w:t>Employing cutting-edge ground-based optical observation techniques, we achieved high-precision detection, tracking, and characterization of multiple NEOs. Advanced astrometric and photometric data reduction pipelines enabled the determination of orbital elements, size estimations, and compositional analyses. These methodologies underscore the strategic potential of regional facilities in contributing to the global network of NEO monitoring and research.</w:t>
      </w:r>
    </w:p>
    <w:p w14:paraId="50FAEFC3" w14:textId="77777777" w:rsidR="008305A1" w:rsidRPr="008305A1" w:rsidRDefault="008305A1" w:rsidP="008305A1">
      <w:pPr>
        <w:pBdr>
          <w:top w:val="nil"/>
          <w:left w:val="nil"/>
          <w:bottom w:val="nil"/>
          <w:right w:val="nil"/>
          <w:between w:val="nil"/>
        </w:pBdr>
        <w:jc w:val="both"/>
        <w:rPr>
          <w:rFonts w:ascii="Arial" w:eastAsia="Arial" w:hAnsi="Arial" w:cs="Arial"/>
          <w:color w:val="000000"/>
        </w:rPr>
      </w:pPr>
      <w:r w:rsidRPr="008305A1">
        <w:rPr>
          <w:rFonts w:ascii="Arial" w:eastAsia="Arial" w:hAnsi="Arial" w:cs="Arial"/>
          <w:color w:val="000000"/>
        </w:rPr>
        <w:t>This work not only reinforces the critical role of localized observatories in the global observational infrastructure but also provides vital insights into the distribution, behavior, and resource potential of NEO populations. The findings significantly enhance the collective understanding of NEO dynamics, informing planetary defense initiatives and future resource exploitation endeavors.</w:t>
      </w:r>
    </w:p>
    <w:p w14:paraId="00000020" w14:textId="45CCF8B6" w:rsidR="0042195B" w:rsidRDefault="0042195B">
      <w:pPr>
        <w:pBdr>
          <w:top w:val="nil"/>
          <w:left w:val="nil"/>
          <w:bottom w:val="nil"/>
          <w:right w:val="nil"/>
          <w:between w:val="nil"/>
        </w:pBdr>
        <w:jc w:val="both"/>
        <w:rPr>
          <w:rFonts w:ascii="Arial" w:eastAsia="Arial" w:hAnsi="Arial" w:cs="Arial"/>
          <w:color w:val="000000"/>
        </w:rPr>
      </w:pPr>
    </w:p>
    <w:p w14:paraId="450433C6" w14:textId="77777777" w:rsidR="008305A1" w:rsidRDefault="008305A1">
      <w:pPr>
        <w:pBdr>
          <w:top w:val="nil"/>
          <w:left w:val="nil"/>
          <w:bottom w:val="nil"/>
          <w:right w:val="nil"/>
          <w:between w:val="nil"/>
        </w:pBdr>
        <w:jc w:val="both"/>
        <w:rPr>
          <w:rFonts w:ascii="Arial" w:eastAsia="Arial" w:hAnsi="Arial" w:cs="Arial"/>
          <w:color w:val="000000"/>
        </w:rPr>
      </w:pPr>
    </w:p>
    <w:p w14:paraId="1EBAF957" w14:textId="77777777" w:rsidR="008305A1" w:rsidRDefault="008305A1">
      <w:pPr>
        <w:pBdr>
          <w:top w:val="nil"/>
          <w:left w:val="nil"/>
          <w:bottom w:val="nil"/>
          <w:right w:val="nil"/>
          <w:between w:val="nil"/>
        </w:pBdr>
        <w:jc w:val="both"/>
        <w:rPr>
          <w:rFonts w:ascii="Arial" w:eastAsia="Arial" w:hAnsi="Arial" w:cs="Arial"/>
          <w:color w:val="000000"/>
        </w:rPr>
      </w:pPr>
    </w:p>
    <w:p w14:paraId="00000021" w14:textId="77777777" w:rsidR="0042195B" w:rsidRDefault="0042195B">
      <w:pPr>
        <w:pBdr>
          <w:top w:val="nil"/>
          <w:left w:val="nil"/>
          <w:bottom w:val="nil"/>
          <w:right w:val="nil"/>
          <w:between w:val="nil"/>
        </w:pBdr>
        <w:jc w:val="both"/>
        <w:rPr>
          <w:rFonts w:ascii="Arial" w:eastAsia="Arial" w:hAnsi="Arial" w:cs="Arial"/>
          <w:color w:val="000000"/>
        </w:rPr>
      </w:pPr>
    </w:p>
    <w:p w14:paraId="00000037" w14:textId="5A1324BD" w:rsidR="0042195B" w:rsidRDefault="0042195B">
      <w:pPr>
        <w:pBdr>
          <w:top w:val="nil"/>
          <w:left w:val="nil"/>
          <w:bottom w:val="nil"/>
          <w:right w:val="nil"/>
          <w:between w:val="nil"/>
        </w:pBdr>
        <w:jc w:val="both"/>
        <w:rPr>
          <w:rFonts w:ascii="Arial" w:eastAsia="Arial" w:hAnsi="Arial" w:cs="Arial"/>
          <w:i/>
          <w:color w:val="000000"/>
          <w:sz w:val="22"/>
          <w:szCs w:val="22"/>
        </w:rPr>
      </w:pPr>
    </w:p>
    <w:sectPr w:rsidR="0042195B">
      <w:footerReference w:type="default" r:id="rId7"/>
      <w:pgSz w:w="11907"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229305" w14:textId="77777777" w:rsidR="00057B34" w:rsidRDefault="00057B34">
      <w:r>
        <w:separator/>
      </w:r>
    </w:p>
  </w:endnote>
  <w:endnote w:type="continuationSeparator" w:id="0">
    <w:p w14:paraId="6F97C3BA" w14:textId="77777777" w:rsidR="00057B34" w:rsidRDefault="00057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0EEB0932-7A3F-4F76-8B87-8E2F922F3CCF}"/>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1CFD34F5-FC0F-44FB-9372-C4AE17D28A61}"/>
    <w:embedBold r:id="rId3" w:fontKey="{D82D72E1-BFF0-48C9-BB43-703C6940A8A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CB51B965-92E1-43A4-BBF5-23B5B731449F}"/>
    <w:embedItalic r:id="rId5" w:fontKey="{85C9A144-BE98-4A5C-8CCC-12E916A04AD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8D01F8E3-4492-4AAB-861E-743306006D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8" w14:textId="2A90500F" w:rsidR="0042195B" w:rsidRDefault="00000000">
    <w:pPr>
      <w:pBdr>
        <w:top w:val="nil"/>
        <w:left w:val="nil"/>
        <w:bottom w:val="nil"/>
        <w:right w:val="nil"/>
        <w:between w:val="nil"/>
      </w:pBdr>
      <w:tabs>
        <w:tab w:val="center" w:pos="4680"/>
        <w:tab w:val="right" w:pos="9360"/>
      </w:tabs>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8305A1">
      <w:rPr>
        <w:rFonts w:ascii="Arial" w:eastAsia="Arial" w:hAnsi="Arial" w:cs="Arial"/>
        <w:noProof/>
        <w:color w:val="000000"/>
      </w:rPr>
      <w:t>1</w:t>
    </w:r>
    <w:r>
      <w:rPr>
        <w:rFonts w:ascii="Arial" w:eastAsia="Arial" w:hAnsi="Arial" w:cs="Arial"/>
        <w:color w:val="000000"/>
      </w:rPr>
      <w:fldChar w:fldCharType="end"/>
    </w:r>
  </w:p>
  <w:p w14:paraId="00000039" w14:textId="77777777" w:rsidR="0042195B" w:rsidRDefault="0042195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D3ACD7" w14:textId="77777777" w:rsidR="00057B34" w:rsidRDefault="00057B34">
      <w:r>
        <w:separator/>
      </w:r>
    </w:p>
  </w:footnote>
  <w:footnote w:type="continuationSeparator" w:id="0">
    <w:p w14:paraId="2CE7A4B0" w14:textId="77777777" w:rsidR="00057B34" w:rsidRDefault="00057B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CD2218"/>
    <w:multiLevelType w:val="multilevel"/>
    <w:tmpl w:val="79C600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054231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95B"/>
    <w:rsid w:val="00057B34"/>
    <w:rsid w:val="0042195B"/>
    <w:rsid w:val="007E41FB"/>
    <w:rsid w:val="008305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74C1E2"/>
  <w15:docId w15:val="{EB0F9060-796C-4934-922E-B4B487CB9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outlineLvl w:val="4"/>
    </w:pPr>
    <w:rPr>
      <w:rFonts w:ascii="Times New Roman" w:eastAsia="Times New Roman" w:hAnsi="Times New Roman" w:cs="Times New Roman"/>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234</Words>
  <Characters>1611</Characters>
  <Application>Microsoft Office Word</Application>
  <DocSecurity>0</DocSecurity>
  <Lines>35</Lines>
  <Paragraphs>9</Paragraphs>
  <ScaleCrop>false</ScaleCrop>
  <Company/>
  <LinksUpToDate>false</LinksUpToDate>
  <CharactersWithSpaces>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Ahmed Moursi</cp:lastModifiedBy>
  <cp:revision>2</cp:revision>
  <dcterms:created xsi:type="dcterms:W3CDTF">2024-11-30T09:40:00Z</dcterms:created>
  <dcterms:modified xsi:type="dcterms:W3CDTF">2024-11-30T09:50:00Z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76fa30-1907-4356-8241-62ea5e1c0256_Enabled">
    <vt:lpwstr>true</vt:lpwstr>
  </property>
  <property fmtid="{D5CDD505-2E9C-101B-9397-08002B2CF9AE}" pid="3" name="MSIP_Label_3976fa30-1907-4356-8241-62ea5e1c0256_SetDate">
    <vt:lpwstr>2022-10-06T07:20:59Z</vt:lpwstr>
  </property>
  <property fmtid="{D5CDD505-2E9C-101B-9397-08002B2CF9AE}" pid="4" name="MSIP_Label_3976fa30-1907-4356-8241-62ea5e1c0256_Method">
    <vt:lpwstr>Standard</vt:lpwstr>
  </property>
  <property fmtid="{D5CDD505-2E9C-101B-9397-08002B2CF9AE}" pid="5" name="MSIP_Label_3976fa30-1907-4356-8241-62ea5e1c0256_Name">
    <vt:lpwstr>ESA UNCLASSIFIED – For ESA Official Use Only</vt:lpwstr>
  </property>
  <property fmtid="{D5CDD505-2E9C-101B-9397-08002B2CF9AE}" pid="6" name="MSIP_Label_3976fa30-1907-4356-8241-62ea5e1c0256_SiteId">
    <vt:lpwstr>9a5cacd0-2bef-4dd7-ac5c-7ebe1f54f495</vt:lpwstr>
  </property>
  <property fmtid="{D5CDD505-2E9C-101B-9397-08002B2CF9AE}" pid="7" name="MSIP_Label_3976fa30-1907-4356-8241-62ea5e1c0256_ActionId">
    <vt:lpwstr>d8dfa894-9e05-41f7-b6b2-2c98086eec37</vt:lpwstr>
  </property>
  <property fmtid="{D5CDD505-2E9C-101B-9397-08002B2CF9AE}" pid="8" name="MSIP_Label_3976fa30-1907-4356-8241-62ea5e1c0256_ContentBits">
    <vt:lpwstr>0</vt:lpwstr>
  </property>
  <property fmtid="{D5CDD505-2E9C-101B-9397-08002B2CF9AE}" pid="9" name="GrammarlyDocumentId">
    <vt:lpwstr>7fe5f8edf805fcfbe0aaba235dbca20090958c814f63afd835d24de1592cb0cc</vt:lpwstr>
  </property>
</Properties>
</file>